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02BD4" w:rsidRDefault="00B02BD4">
      <w:pPr>
        <w:rPr>
          <w:rtl/>
        </w:rPr>
      </w:pPr>
    </w:p>
    <w:p w:rsidR="00B02BD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67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674" inset="0,0,0,0">
              <w:txbxContent>
                <w:p w:rsidR="008774D8" w:rsidRDefault="008774D8">
                  <w:r>
                    <w:rPr>
                      <w:rtl/>
                    </w:rPr>
                    <w:t>53                                           ספר החוקים 141                    ב' בשבט התשי"ד 06.01.1954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75" o:spid="_x0000_s1026" type="#_x0000_t202" style="position:absolute;left:0;text-align:left;margin-left:146.5pt;margin-top:735pt;width:407.9pt;height:69.9pt;z-index:6;mso-position-horizontal-relative:page;mso-position-vertical-relative:page" stroked="f">
            <v:textbox style="mso-next-textbox:#_x0000_s29675" inset="0,0,0,0">
              <w:txbxContent>
                <w:p w:rsidR="008774D8" w:rsidRDefault="008774D8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בטבת תשי"ד (4 בינואר 1954) ; הצעת החוק ודברי הסבר נתפרסמו</w:t>
                  </w:r>
                </w:p>
                <w:p w:rsidR="008774D8" w:rsidRDefault="008774D8">
                  <w:pPr>
                    <w:pStyle w:val="OCRStyle1"/>
                    <w:ind w:left="6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183, תשי"ד, עמ' 30.</w:t>
                  </w:r>
                </w:p>
                <w:p w:rsidR="008774D8" w:rsidRPr="00B02BD4" w:rsidRDefault="008774D8">
                  <w:pPr>
                    <w:pStyle w:val="OCRStyle1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30, תש"י, עמ' 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76" o:spid="_x0000_s1027" type="#_x0000_t202" style="position:absolute;left:0;text-align:left;margin-left:89.25pt;margin-top:513.45pt;width:480.55pt;height:218.8pt;z-index:5;mso-position-horizontal-relative:page;mso-position-vertical-relative:page" stroked="f">
            <v:textbox style="mso-next-textbox:#_x0000_s2967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6"/>
                    <w:gridCol w:w="7654"/>
                  </w:tblGrid>
                  <w:tr w:rsidR="008774D8" w:rsidRPr="00B02BD4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8774D8" w:rsidRPr="00B02BD4" w:rsidRDefault="008774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תקנות</w:t>
                        </w:r>
                      </w:p>
                    </w:tc>
                    <w:tc>
                      <w:tcPr>
                        <w:tcW w:w="4379" w:type="pct"/>
                      </w:tcPr>
                      <w:p w:rsidR="008774D8" w:rsidRDefault="008774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תקנות-שעת-חירום (עבירות תנועה - דין חיילים), תש"ט-1949, יתוקנו כך :</w:t>
                        </w:r>
                      </w:p>
                      <w:p w:rsidR="008774D8" w:rsidRDefault="00877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תקנה 5 תסומן כתקנת משנה (א) לתקנה 5, ואחריה תבוא תקנת משנה זו:</w:t>
                        </w:r>
                      </w:p>
                      <w:p w:rsidR="008774D8" w:rsidRDefault="00877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אדם שהיה חייל וחדל מהיות חייל, וכן אדם הנמנה עם כוחות המי-</w:t>
                        </w:r>
                      </w:p>
                      <w:p w:rsidR="008774D8" w:rsidRDefault="00877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לואים של הצבא, שעברו עבירת תנועה בזמן שירותם בצבא, יהיה בית דין</w:t>
                        </w:r>
                      </w:p>
                      <w:p w:rsidR="008774D8" w:rsidRDefault="00877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לעבירות תנועה מוסמך לשפטם על עבירה זו באותם התנאים והסייגים</w:t>
                        </w:r>
                      </w:p>
                      <w:p w:rsidR="008774D8" w:rsidRDefault="00877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 דין מחוזי או בית דין מיוחד על פי תקנה 3ב או 3ג של החוקה מוסמך</w:t>
                        </w:r>
                      </w:p>
                      <w:p w:rsidR="008774D8" w:rsidRDefault="00877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לשפטם עליה."</w:t>
                        </w:r>
                      </w:p>
                      <w:p w:rsidR="008774D8" w:rsidRDefault="00877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בתקנת משגה 6 (א) -</w:t>
                        </w:r>
                      </w:p>
                      <w:p w:rsidR="008774D8" w:rsidRDefault="00877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המלים "כלי רכב צבאי" בכל מקום שהן מופיעות, יבואו המלים</w:t>
                        </w:r>
                      </w:p>
                      <w:p w:rsidR="008774D8" w:rsidRDefault="00877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רכב, בין צבאי ובין אחר," ;</w:t>
                        </w:r>
                      </w:p>
                      <w:p w:rsidR="008774D8" w:rsidRDefault="00877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המלים "מאסר עד עשרים ואחד יום" יבואו המלים "מאסר עד</w:t>
                        </w:r>
                      </w:p>
                      <w:p w:rsidR="008774D8" w:rsidRPr="00B02BD4" w:rsidRDefault="00877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וחמישה ימים",</w:t>
                        </w:r>
                      </w:p>
                    </w:tc>
                  </w:tr>
                </w:tbl>
                <w:p w:rsidR="008774D8" w:rsidRDefault="008774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677" o:spid="_x0000_s1028" type="#_x0000_t202" style="position:absolute;left:0;text-align:left;margin-left:323.7pt;margin-top:479pt;width:89.9pt;height:34.45pt;z-index:4;mso-position-horizontal-relative:page;mso-position-vertical-relative:page" stroked="f">
            <v:textbox style="mso-next-textbox:#_x0000_s29677" inset="0,0,0,0">
              <w:txbxContent>
                <w:p w:rsidR="008774D8" w:rsidRDefault="008774D8">
                  <w:pPr>
                    <w:pStyle w:val="OCRStyle1"/>
                    <w:ind w:left="74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8774D8" w:rsidRPr="00B02BD4" w:rsidRDefault="008774D8">
                  <w:pPr>
                    <w:pStyle w:val="OCRStyle1"/>
                    <w:ind w:left="713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78" o:spid="_x0000_s1029" type="#_x0000_t202" style="position:absolute;left:0;text-align:left;margin-left:89.25pt;margin-top:335.45pt;width:477pt;height:130.7pt;z-index:3;mso-position-horizontal-relative:page;mso-position-vertical-relative:page" stroked="f">
            <v:textbox style="mso-next-textbox:#_x0000_s2967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1"/>
                    <w:gridCol w:w="7584"/>
                  </w:tblGrid>
                  <w:tr w:rsidR="008774D8" w:rsidRPr="00B02BD4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8774D8" w:rsidRPr="00B02BD4" w:rsidRDefault="008774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71" w:type="pct"/>
                      </w:tcPr>
                      <w:p w:rsidR="008774D8" w:rsidRDefault="008774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(עבירות תנועה - דין חיילים), תש"ט-1949 1,</w:t>
                        </w:r>
                      </w:p>
                      <w:p w:rsidR="008774D8" w:rsidRDefault="00877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בתיקונים המפורשים בתוספת לחוק זה, מוארך בזה עד יום ר בטבת תשט"ו (31 בדצמבר</w:t>
                        </w:r>
                      </w:p>
                      <w:p w:rsidR="008774D8" w:rsidRPr="00B02BD4" w:rsidRDefault="00877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1954).</w:t>
                        </w:r>
                      </w:p>
                    </w:tc>
                  </w:tr>
                  <w:tr w:rsidR="008774D8" w:rsidRPr="00B02BD4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8774D8" w:rsidRPr="00B02BD4" w:rsidRDefault="008774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71" w:type="pct"/>
                      </w:tcPr>
                      <w:p w:rsidR="008774D8" w:rsidRDefault="008774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ההוראות הכלולות בתקנות 5 (ב) ו-6 לתקנות האמורות, כפי שתוקנו בחוק זה, יחולו</w:t>
                        </w:r>
                      </w:p>
                      <w:p w:rsidR="008774D8" w:rsidRPr="00B02BD4" w:rsidRDefault="00877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 עבירה שנעברה לפני תחילת תקפו.</w:t>
                        </w:r>
                      </w:p>
                    </w:tc>
                  </w:tr>
                  <w:tr w:rsidR="008774D8" w:rsidRPr="00B02BD4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8774D8" w:rsidRPr="00B02BD4" w:rsidRDefault="008774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371" w:type="pct"/>
                      </w:tcPr>
                      <w:p w:rsidR="008774D8" w:rsidRPr="00B02BD4" w:rsidRDefault="008774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תקפו של חוק זה הוא מיום כ"ה בטבת תשי"ד (31 בדצמבר 1953).</w:t>
                        </w:r>
                      </w:p>
                    </w:tc>
                  </w:tr>
                </w:tbl>
                <w:p w:rsidR="008774D8" w:rsidRDefault="008774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679" o:spid="_x0000_s1030" type="#_x0000_t202" style="position:absolute;left:0;text-align:left;margin-left:93.8pt;margin-top:281.8pt;width:63.75pt;height:16.45pt;z-index:2;mso-position-horizontal-relative:page;mso-position-vertical-relative:page" stroked="f">
            <v:textbox style="mso-next-textbox:#_x0000_s29679" inset="0,0,0,0">
              <w:txbxContent>
                <w:p w:rsidR="008774D8" w:rsidRDefault="008774D8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מספר 17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80" o:spid="_x0000_s1031" type="#_x0000_t202" style="position:absolute;left:0;text-align:left;margin-left:199.35pt;margin-top:295.45pt;width:306.9pt;height:36.45pt;z-index:1;mso-position-horizontal-relative:page;mso-position-vertical-relative:page" stroked="f">
            <v:textbox style="mso-next-textbox:#_x0000_s29680" inset="0,0,0,0">
              <w:txbxContent>
                <w:p w:rsidR="008774D8" w:rsidRDefault="008774D8">
                  <w:pPr>
                    <w:pStyle w:val="OCRStyle1"/>
                    <w:ind w:left="61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8774D8" w:rsidRPr="00B02BD4" w:rsidRDefault="008774D8">
                  <w:pPr>
                    <w:pStyle w:val="OCRStyle1"/>
                    <w:ind w:left="407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(עבירות תנועה - דין חיילים), תשי"ד-1954 *</w:t>
                  </w:r>
                </w:p>
              </w:txbxContent>
            </v:textbox>
            <w10:wrap anchorx="page" anchory="page"/>
          </v:shape>
        </w:pict>
      </w:r>
    </w:p>
    <w:p w:rsidR="008774D8" w:rsidRDefault="008774D8">
      <w:pPr>
        <w:rPr>
          <w:rtl/>
        </w:rPr>
      </w:pPr>
      <w:r>
        <w:rPr>
          <w:rtl/>
        </w:rPr>
        <w:br w:type="page"/>
      </w:r>
    </w:p>
    <w:p w:rsidR="008774D8" w:rsidRDefault="00000000">
      <w:pPr>
        <w:rPr>
          <w:rtl/>
        </w:rPr>
      </w:pPr>
      <w:r>
        <w:pict>
          <v:shape id="_x0000_s29681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9681" inset="0,0,0,0">
              <w:txbxContent>
                <w:p w:rsidR="008774D8" w:rsidRDefault="008774D8">
                  <w:r>
                    <w:rPr>
                      <w:rtl/>
                    </w:rPr>
                    <w:t>54                                           ספר החוקים 141                    ב' בשבט התשי"ד 06.01.1954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82" o:spid="_x0000_s1033" type="#_x0000_t202" style="position:absolute;left:0;text-align:left;margin-left:71.6pt;margin-top:756.8pt;width:219pt;height:56.25pt;z-index:13;mso-position-horizontal-relative:page;mso-position-vertical-relative:page" stroked="f">
            <v:textbox style="mso-next-textbox:#_x0000_s29682" inset="0,0,0,0">
              <w:txbxContent>
                <w:p w:rsidR="008774D8" w:rsidRDefault="008774D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683" o:spid="_x0000_s1034" type="#_x0000_t202" style="position:absolute;left:0;text-align:left;margin-left:363.05pt;margin-top:356.85pt;width:110.5pt;height:36.25pt;z-index:12;mso-position-horizontal-relative:page;mso-position-vertical-relative:page" stroked="f">
            <v:textbox style="mso-next-textbox:#_x0000_s29683" inset="0,0,0,0">
              <w:txbxContent>
                <w:p w:rsidR="008774D8" w:rsidRDefault="008774D8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8774D8" w:rsidRDefault="008774D8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84" o:spid="_x0000_s1035" type="#_x0000_t202" style="position:absolute;left:0;text-align:left;margin-left:74.6pt;margin-top:296.45pt;width:133.65pt;height:46.35pt;z-index:11;mso-position-horizontal-relative:page;mso-position-vertical-relative:page" stroked="f">
            <v:textbox style="mso-next-textbox:#_x0000_s29684" inset="0,0,0,0">
              <w:txbxContent>
                <w:p w:rsidR="008774D8" w:rsidRDefault="008774D8">
                  <w:pPr>
                    <w:pStyle w:val="OCRStyle2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8774D8" w:rsidRDefault="008774D8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ממלא מקום 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85" o:spid="_x0000_s1036" type="#_x0000_t202" style="position:absolute;left:0;text-align:left;margin-left:238.3pt;margin-top:299.45pt;width:127.7pt;height:51.3pt;z-index:10;mso-position-horizontal-relative:page;mso-position-vertical-relative:page" stroked="f">
            <v:textbox style="mso-next-textbox:#_x0000_s29685" inset="0,0,0,0">
              <w:txbxContent>
                <w:p w:rsidR="008774D8" w:rsidRDefault="008774D8">
                  <w:pPr>
                    <w:pStyle w:val="OCRStyle2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8774D8" w:rsidRDefault="008774D8">
                  <w:pPr>
                    <w:pStyle w:val="OCRStyle2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8774D8" w:rsidRDefault="008774D8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86" o:spid="_x0000_s1037" type="#_x0000_t202" style="position:absolute;left:0;text-align:left;margin-left:76.55pt;margin-top:94.5pt;width:428.1pt;height:184.95pt;z-index:9;mso-position-horizontal-relative:page;mso-position-vertical-relative:page" stroked="f">
            <v:textbox style="mso-next-textbox:#_x0000_s29686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71"/>
                    <w:gridCol w:w="1613"/>
                  </w:tblGrid>
                  <w:tr w:rsidR="008774D8">
                    <w:trPr>
                      <w:jc w:val="right"/>
                    </w:trPr>
                    <w:tc>
                      <w:tcPr>
                        <w:tcW w:w="3964" w:type="pct"/>
                      </w:tcPr>
                      <w:p w:rsidR="008774D8" w:rsidRDefault="008774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א. מי שנדון על ידי בית דין של דן יחיד רשאי ראש המטה למחול לו</w:t>
                        </w:r>
                      </w:p>
                      <w:p w:rsidR="008774D8" w:rsidRDefault="008774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העונש שהוטל עליו או חלק מן העונש, או להחליף את העונש שהוטל</w:t>
                        </w:r>
                      </w:p>
                      <w:p w:rsidR="008774D8" w:rsidRDefault="008774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בעונש קל יותר.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8774D8" w:rsidRDefault="008774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"מחילת עונש</w:t>
                        </w:r>
                      </w:p>
                    </w:tc>
                  </w:tr>
                  <w:tr w:rsidR="008774D8" w:rsidRPr="008774D8">
                    <w:trPr>
                      <w:jc w:val="right"/>
                    </w:trPr>
                    <w:tc>
                      <w:tcPr>
                        <w:tcW w:w="3964" w:type="pct"/>
                      </w:tcPr>
                      <w:p w:rsidR="008774D8" w:rsidRDefault="008774D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ב. תקנות 175 ו-176 של החוקה יחולו על בתי דין לעבירות תנועה</w:t>
                        </w:r>
                      </w:p>
                      <w:p w:rsidR="008774D8" w:rsidRDefault="008774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בתיאומים אלה:</w:t>
                        </w:r>
                      </w:p>
                      <w:p w:rsidR="008774D8" w:rsidRDefault="008774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המלים "בית דין של הצבא" קרי "בית דין לעבירות</w:t>
                        </w:r>
                      </w:p>
                      <w:p w:rsidR="008774D8" w:rsidRDefault="008774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תנועה".</w:t>
                        </w:r>
                      </w:p>
                      <w:p w:rsidR="008774D8" w:rsidRDefault="008774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תקנת משנה (ה) שבתקנות אלה קרי בשתיהן -</w:t>
                        </w:r>
                      </w:p>
                      <w:p w:rsidR="008774D8" w:rsidRDefault="008774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בתקנה זו - "אב בית דין לרבות שופט תנועה היושב</w:t>
                        </w:r>
                      </w:p>
                      <w:p w:rsidR="008774D8" w:rsidRPr="008774D8" w:rsidRDefault="008774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דין של דן יחיד". "</w:t>
                        </w:r>
                      </w:p>
                    </w:tc>
                    <w:tc>
                      <w:tcPr>
                        <w:tcW w:w="1036" w:type="pct"/>
                      </w:tcPr>
                      <w:p w:rsidR="008774D8" w:rsidRDefault="008774D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תחולתן של</w:t>
                        </w:r>
                      </w:p>
                      <w:p w:rsidR="008774D8" w:rsidRPr="008774D8" w:rsidRDefault="008774D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נוספות</w:t>
                        </w:r>
                      </w:p>
                    </w:tc>
                  </w:tr>
                </w:tbl>
                <w:p w:rsidR="008774D8" w:rsidRDefault="008774D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687" o:spid="_x0000_s1038" type="#_x0000_t202" style="position:absolute;left:0;text-align:left;margin-left:245.45pt;margin-top:72.3pt;width:199pt;height:21.2pt;z-index:8;mso-position-horizontal-relative:page;mso-position-vertical-relative:page" stroked="f">
            <v:textbox style="mso-next-textbox:#_x0000_s29687" inset="0,0,0,0">
              <w:txbxContent>
                <w:p w:rsidR="008774D8" w:rsidRDefault="008774D8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(3) אחרי תקנה 11 יבואו תקנות אלה: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02BD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DD8754-0023-4802-8EBE-8A6D6FC9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02BD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774D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2008-04-06T18:39:00Z</dcterms:created>
  <dcterms:modified xsi:type="dcterms:W3CDTF">2008-04-06T18:39:00Z</dcterms:modified>
</cp:coreProperties>
</file>