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A0EA0" w:rsidRDefault="007A0EA0">
      <w:pPr>
        <w:rPr>
          <w:rtl/>
        </w:rPr>
      </w:pPr>
    </w:p>
    <w:p w:rsidR="007A0EA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739" inset="0,0,0,0">
              <w:txbxContent>
                <w:p w:rsidR="001F79B1" w:rsidRDefault="001F79B1">
                  <w:r>
                    <w:rPr>
                      <w:rtl/>
                    </w:rPr>
                    <w:t>36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40" o:spid="_x0000_s1026" type="#_x0000_t202" style="position:absolute;left:0;text-align:left;margin-left:95.65pt;margin-top:696.35pt;width:176.4pt;height:27.9pt;z-index:6;mso-position-horizontal-relative:page;mso-position-vertical-relative:page" stroked="f">
            <v:textbox style="mso-next-textbox:#_x0000_s29740" inset="0,0,0,0">
              <w:txbxContent>
                <w:p w:rsidR="001F79B1" w:rsidRDefault="001F79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41" o:spid="_x0000_s1027" type="#_x0000_t202" style="position:absolute;left:0;text-align:left;margin-left:85.55pt;margin-top:605.05pt;width:362.95pt;height:78.6pt;z-index:5;mso-position-horizontal-relative:page;mso-position-vertical-relative:page" stroked="f">
            <v:textbox style="mso-next-textbox:#_x0000_s29741" inset="0,0,0,0">
              <w:txbxContent>
                <w:p w:rsidR="001F79B1" w:rsidRDefault="001F79B1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בטבת תש"י )28 בדצמבר 1949). הצעת החוק ודברי הסבר התפרסמו</w:t>
                  </w:r>
                </w:p>
                <w:p w:rsidR="001F79B1" w:rsidRDefault="001F79B1">
                  <w:pPr>
                    <w:pStyle w:val="OCRStyle1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24 מיום י"ר בכסלו תש"י (5 בדצמבר 1949), עמ' 21.</w:t>
                  </w:r>
                </w:p>
                <w:p w:rsidR="001F79B1" w:rsidRDefault="001F79B1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44 מיום כ' בטבח תש"ט (21.1.49), תוס' ב', עמ' 131.</w:t>
                  </w:r>
                </w:p>
                <w:p w:rsidR="001F79B1" w:rsidRDefault="001F79B1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ע"ו' מס' 20 מיום ד' באלול תש"ח (8.9.48), חוס' ב', עט' .106</w:t>
                  </w:r>
                </w:p>
                <w:p w:rsidR="001F79B1" w:rsidRDefault="001F79B1">
                  <w:pPr>
                    <w:pStyle w:val="OCRStyle1"/>
                    <w:ind w:left="20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כו'ר ב', פרק קכ"ח, עמ' .1271</w:t>
                  </w:r>
                </w:p>
                <w:p w:rsidR="001F79B1" w:rsidRPr="007A0EA0" w:rsidRDefault="001F79B1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חוקי א"י, כרך ג' עמ' 2237.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42" o:spid="_x0000_s1028" type="#_x0000_t202" style="position:absolute;left:0;text-align:left;margin-left:95.3pt;margin-top:358.95pt;width:438.35pt;height:244.35pt;z-index:4;mso-position-horizontal-relative:page;mso-position-vertical-relative:page" stroked="f">
            <v:textbox style="mso-next-textbox:#_x0000_s29742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60"/>
                    <w:gridCol w:w="1210"/>
                  </w:tblGrid>
                  <w:tr w:rsidR="001F79B1" w:rsidRPr="007A0EA0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Pr="007A0EA0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בתקנות אלה -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Pr="007A0EA0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1F79B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"החוקה" פירושה חוקת השיפוט תש"ח2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79B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"עבירת תנועה* פירושה -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79B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עבירה לפי פקודת התעבורה3 או לפי תקנות התעבורה 4 או לפי חוק</w:t>
                        </w:r>
                      </w:p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הנוגע לתנועה בדרכים - שחייל יבול להיתבע עליה בבתי-הדין של</w:t>
                        </w:r>
                      </w:p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הצבא לפי תקנה 97 של החוקה "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79B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עבירה לפי תקנה 98 של החוקה על ידי עשיית מעשה או השתמטות</w:t>
                        </w:r>
                      </w:p>
                      <w:p w:rsidR="001F79B1" w:rsidRPr="007A0EA0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מעשיית מעשה שלא בהתאם להוראה, לפקודה או לתקנה בענין התנועה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79B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בדרכים.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79B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אלה תהיה לכל מונח המשמעות שניתנה לו בחוקה, אם אין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79B1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משמעות אחרת נובעת מנוסח הכתוב.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F79B1" w:rsidRPr="007A0EA0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יוקמו בצבא בתי דין לעבירות תנועה.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בתי דין</w:t>
                        </w:r>
                      </w:p>
                      <w:p w:rsidR="001F79B1" w:rsidRPr="007A0EA0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לעבירות תנועה</w:t>
                        </w:r>
                      </w:p>
                    </w:tc>
                  </w:tr>
                  <w:tr w:rsidR="001F79B1" w:rsidRPr="007A0EA0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Pr="007A0EA0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ראש המטה ימנה מבין החיילים שופטי תנועה לצורך תקנות אלה :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Pr="007A0EA0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שופטי תנועה</w:t>
                        </w:r>
                      </w:p>
                    </w:tc>
                  </w:tr>
                  <w:tr w:rsidR="001F79B1" w:rsidRPr="007A0EA0">
                    <w:trPr>
                      <w:jc w:val="right"/>
                    </w:trPr>
                    <w:tc>
                      <w:tcPr>
                        <w:tcW w:w="4241" w:type="pct"/>
                      </w:tcPr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המטה ימנה מבין החיילים דיינים לצורך תקנות אלה.</w:t>
                        </w:r>
                      </w:p>
                    </w:tc>
                    <w:tc>
                      <w:tcPr>
                        <w:tcW w:w="759" w:type="pct"/>
                      </w:tcPr>
                      <w:p w:rsidR="001F79B1" w:rsidRPr="007A0EA0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ודיינים</w:t>
                        </w:r>
                      </w:p>
                    </w:tc>
                  </w:tr>
                </w:tbl>
                <w:p w:rsidR="001F79B1" w:rsidRDefault="001F79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43" o:spid="_x0000_s1029" type="#_x0000_t202" style="position:absolute;left:0;text-align:left;margin-left:78.05pt;margin-top:305.5pt;width:461.95pt;height:43.15pt;z-index:3;mso-position-horizontal-relative:page;mso-position-vertical-relative:page" stroked="f">
            <v:textbox style="mso-next-textbox:#_x0000_s29743" inset="0,0,0,0">
              <w:txbxContent>
                <w:p w:rsidR="001F79B1" w:rsidRDefault="001F79B1">
                  <w:pPr>
                    <w:pStyle w:val="OCRStyle1"/>
                    <w:ind w:left="438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תוספת</w:t>
                  </w:r>
                </w:p>
                <w:p w:rsidR="001F79B1" w:rsidRPr="007A0EA0" w:rsidRDefault="001F79B1">
                  <w:pPr>
                    <w:pStyle w:val="OCRStyle1"/>
                    <w:ind w:left="177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תקנות-שעת-חירום (עבירות תנועה - דין חיילים), תש"ט-1949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44" o:spid="_x0000_s1030" type="#_x0000_t202" style="position:absolute;left:0;text-align:left;margin-left:79.25pt;margin-top:173.45pt;width:459.55pt;height:131.85pt;z-index:2;mso-position-horizontal-relative:page;mso-position-vertical-relative:page" stroked="f">
            <v:textbox style="mso-next-textbox:#_x0000_s2974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2"/>
                    <w:gridCol w:w="1273"/>
                  </w:tblGrid>
                  <w:tr w:rsidR="001F79B1" w:rsidRPr="007A0EA0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1F79B1" w:rsidRDefault="001F79B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(עבירות תנועה - דין חיילים)' תשיט-1949.1,</w:t>
                        </w:r>
                      </w:p>
                      <w:p w:rsidR="001F79B1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בנוסח המתוקן והניתן בתוספת לחוק זה, מוארך בזה עד יום י"ג בניסן תש"י (31</w:t>
                        </w:r>
                      </w:p>
                      <w:p w:rsidR="001F79B1" w:rsidRPr="007A0EA0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1950).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1F79B1" w:rsidRPr="007A0EA0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F79B1" w:rsidRPr="007A0EA0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1F79B1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תיקון הנוסח של התקנות האמורות אינו פוגע בכל פסק-דין שניתן או פעולה</w:t>
                        </w:r>
                      </w:p>
                      <w:p w:rsidR="001F79B1" w:rsidRPr="007A0EA0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שנעשתה על פי התקנות האמורות לפני היכנס חוק זה לתקפו.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1F79B1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  <w:p w:rsidR="001F79B1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 פסקי-דין</w:t>
                        </w:r>
                      </w:p>
                      <w:p w:rsidR="001F79B1" w:rsidRPr="007A0EA0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וכו'</w:t>
                        </w:r>
                      </w:p>
                    </w:tc>
                  </w:tr>
                  <w:tr w:rsidR="001F79B1" w:rsidRPr="007A0EA0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1F79B1" w:rsidRPr="007A0EA0" w:rsidRDefault="001F79B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תקפו של חוק זה הוא מיום י"א בטבת תש"י (31 בדצמבר 1949).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1F79B1" w:rsidRPr="007A0EA0" w:rsidRDefault="001F79B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1F79B1" w:rsidRDefault="001F79B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45" o:spid="_x0000_s1031" type="#_x0000_t202" style="position:absolute;left:0;text-align:left;margin-left:136.25pt;margin-top:121.35pt;width:266.7pt;height:46.95pt;z-index:1;mso-position-horizontal-relative:page;mso-position-vertical-relative:page" stroked="f">
            <v:textbox style="mso-next-textbox:#_x0000_s29745" inset="0,0,0,0">
              <w:txbxContent>
                <w:p w:rsidR="001F79B1" w:rsidRDefault="001F79B1">
                  <w:pPr>
                    <w:pStyle w:val="OCRStyle1"/>
                    <w:ind w:left="378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1F79B1" w:rsidRPr="007A0EA0" w:rsidRDefault="001F79B1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(עבירות תנועה - דין חיילים), תש"י-1949</w:t>
                  </w:r>
                </w:p>
              </w:txbxContent>
            </v:textbox>
            <w10:wrap anchorx="page" anchory="page"/>
          </v:shape>
        </w:pict>
      </w:r>
    </w:p>
    <w:p w:rsidR="004266ED" w:rsidRDefault="004266ED">
      <w:pPr>
        <w:rPr>
          <w:rtl/>
        </w:rPr>
      </w:pPr>
      <w:r>
        <w:rPr>
          <w:rtl/>
        </w:rPr>
        <w:br w:type="page"/>
      </w:r>
    </w:p>
    <w:p w:rsidR="004266ED" w:rsidRDefault="00000000">
      <w:pPr>
        <w:rPr>
          <w:rtl/>
        </w:rPr>
      </w:pPr>
      <w:r>
        <w:pict>
          <v:shape id="_x0000_s29746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9746" inset="0,0,0,0">
              <w:txbxContent>
                <w:p w:rsidR="001F79B1" w:rsidRDefault="001F79B1">
                  <w:r>
                    <w:rPr>
                      <w:rtl/>
                    </w:rPr>
                    <w:t>37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47" o:spid="_x0000_s1033" type="#_x0000_t202" style="position:absolute;left:0;text-align:left;margin-left:362.4pt;margin-top:697.85pt;width:199.2pt;height:36.65pt;z-index:10;mso-position-horizontal-relative:page;mso-position-vertical-relative:page" stroked="f">
            <v:textbox style="mso-next-textbox:#_x0000_s29747" inset="0,0,0,0">
              <w:txbxContent>
                <w:p w:rsidR="001F79B1" w:rsidRDefault="001F79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748" o:spid="_x0000_s1034" type="#_x0000_t202" style="position:absolute;left:0;text-align:left;margin-left:338.2pt;margin-top:656.3pt;width:199.4pt;height:25.35pt;z-index:9;mso-position-horizontal-relative:page;mso-position-vertical-relative:page" stroked="f">
            <v:textbox style="mso-next-textbox:#_x0000_s29748" inset="0,0,0,0">
              <w:txbxContent>
                <w:p w:rsidR="001F79B1" w:rsidRPr="004266ED" w:rsidRDefault="001F79B1">
                  <w:pPr>
                    <w:pStyle w:val="OCRStyle2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טס' 652 מיום 14.12.36, חוס' 1, עט' 268.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49" o:spid="_x0000_s1035" type="#_x0000_t202" style="position:absolute;left:0;text-align:left;margin-left:87.35pt;margin-top:63.45pt;width:477.95pt;height:591.6pt;z-index:8;mso-position-horizontal-relative:page;mso-position-vertical-relative:page" stroked="f">
            <v:textbox style="mso-next-textbox:#_x0000_s2974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97"/>
                    <w:gridCol w:w="6995"/>
                  </w:tblGrid>
                  <w:tr w:rsidR="001F79B1" w:rsidRPr="004266ED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1F79B1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בחי</w:t>
                        </w:r>
                      </w:p>
                      <w:p w:rsidR="001F79B1" w:rsidRPr="004266ED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חריז</w:t>
                        </w:r>
                      </w:p>
                    </w:tc>
                    <w:tc>
                      <w:tcPr>
                        <w:tcW w:w="4024" w:type="pct"/>
                      </w:tcPr>
                      <w:p w:rsidR="001F79B1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בתי דין לעבירות תנועה הם שנים: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בית דין של שלושה שבו ישבו בדין שופט תנועה כאב בית הדין ושני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דיינים ו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בית דין של דן יחיד שבו ישב בדין שופט תנועה.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ראש המטה יקבע את הרכבו של כל בית דין לעבירות תנועה ואת מקום</w:t>
                        </w:r>
                      </w:p>
                      <w:p w:rsidR="001F79B1" w:rsidRPr="004266ED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מושבו.</w:t>
                        </w:r>
                      </w:p>
                    </w:tc>
                  </w:tr>
                  <w:tr w:rsidR="001F79B1" w:rsidRPr="004266ED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1F79B1" w:rsidRPr="004266ED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ספנות לשפוט</w:t>
                        </w:r>
                      </w:p>
                    </w:tc>
                    <w:tc>
                      <w:tcPr>
                        <w:tcW w:w="4024" w:type="pct"/>
                      </w:tcPr>
                      <w:p w:rsidR="001F79B1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בית דין לעבירות תנועה יהיה מוסמך לשפוט כל חייל' ללא הבדל דרגה, על כל</w:t>
                        </w:r>
                      </w:p>
                      <w:p w:rsidR="001F79B1" w:rsidRPr="004266ED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עבירת תנועה שנעברה בכל מקום שהוא אחרי שהותקנו תקנות אלה.</w:t>
                        </w:r>
                      </w:p>
                    </w:tc>
                  </w:tr>
                  <w:tr w:rsidR="001F79B1" w:rsidRPr="004266ED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1F79B1" w:rsidRPr="004266ED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להעניש</w:t>
                        </w:r>
                      </w:p>
                    </w:tc>
                    <w:tc>
                      <w:tcPr>
                        <w:tcW w:w="4024" w:type="pct"/>
                      </w:tcPr>
                      <w:p w:rsidR="001F79B1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בית דין לעבירות תנועה מוסמך להטיל על עבירות תנועה את הענשים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 דין מחוזי מוסמך על פי החוקה להטילם על אותן העבירות, ונוסף עליהם, או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במקומם, מוסמך בית דין לעבירות תנועה להטיל אחד משני הענשים הבאים או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שניהם: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שלילת זכות לנהיגת כלי רכב צבאי לתקופה שבית הדין יקבע :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הורדה בדרגה או שלילתה :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בית דין של דן יחיד לא יוכל להטיל אלא עונש מאסר עד עשרים ואחד יום או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עד עשר לירות או שני הענשים כאחד' או עונש קל ממעצר מחנה מלא לסי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דרגת הענשים הקבועה בתקנה 99 של החוקה' ונוסף על ענשים אלה' או במקומם -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 שלילת זכות לנהיגת כלי רכב צבאי לתקופה שאינה עולה על שתי שנים.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ההערה לתקנה 99 של החוקה (הקובעת שעונש מאסר, בין היתר, גורר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מאליו גם עונש שלילת דרגה) לא תחול לגבי עונש מאסר שהוטל על-ידי בית-דין</w:t>
                        </w:r>
                      </w:p>
                      <w:p w:rsidR="001F79B1" w:rsidRPr="004266ED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לעבירות תנועה.</w:t>
                        </w:r>
                      </w:p>
                    </w:tc>
                  </w:tr>
                  <w:tr w:rsidR="001F79B1" w:rsidRPr="004266ED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1F79B1" w:rsidRPr="004266ED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</w:t>
                        </w:r>
                      </w:p>
                    </w:tc>
                    <w:tc>
                      <w:tcPr>
                        <w:tcW w:w="4024" w:type="pct"/>
                      </w:tcPr>
                      <w:p w:rsidR="001F79B1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לבית דין לעבירות תנועה תהיה הסמכות הנתונה לבית משפט על פי סעיף 43</w:t>
                        </w:r>
                      </w:p>
                      <w:p w:rsidR="001F79B1" w:rsidRPr="004266ED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החוק הפלילי, .11936</w:t>
                        </w:r>
                      </w:p>
                    </w:tc>
                  </w:tr>
                  <w:tr w:rsidR="001F79B1" w:rsidRPr="004266ED">
                    <w:trPr>
                      <w:jc w:val="right"/>
                    </w:trPr>
                    <w:tc>
                      <w:tcPr>
                        <w:tcW w:w="976" w:type="pct"/>
                      </w:tcPr>
                      <w:p w:rsidR="001F79B1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פסקי דין של</w:t>
                        </w:r>
                      </w:p>
                      <w:p w:rsidR="001F79B1" w:rsidRPr="004266ED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שלושה</w:t>
                        </w:r>
                      </w:p>
                    </w:tc>
                    <w:tc>
                      <w:tcPr>
                        <w:tcW w:w="4024" w:type="pct"/>
                      </w:tcPr>
                      <w:p w:rsidR="001F79B1" w:rsidRDefault="001F79B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פסק דין של זיכוי שניתן על ידי בית דין של שלושה הוא סופי, אינו טעון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ואינו ניתן לערעור.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 דין של חיוב שניתן על ידי בית דין של שלושה וטעון אישור מאת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המטה, ראש המטה יוכל לאשר את פסק הדין, או לאשר את החיוב ולהקל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בעונש, או לבטל את פסק הדין.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פסק דין של חיוב שניתן ואושר כאמור, הוא סופי ואינו ניתן לערעור.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פסק דין של חיוב שניתן על ידי בית דין של שלושה יוצא אל הפועל מיד</w:t>
                        </w:r>
                      </w:p>
                      <w:p w:rsidR="001F79B1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נתינתו, מלבד אם בית הדין או ראש המטה ציווה לעכב את ההוצאה לפועל</w:t>
                        </w:r>
                      </w:p>
                      <w:p w:rsidR="001F79B1" w:rsidRPr="004266ED" w:rsidRDefault="001F79B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פסק הדין עד לאישורו.</w:t>
                        </w:r>
                      </w:p>
                    </w:tc>
                  </w:tr>
                </w:tbl>
                <w:p w:rsidR="001F79B1" w:rsidRDefault="001F79B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03421" w:rsidRDefault="00603421">
      <w:pPr>
        <w:rPr>
          <w:rtl/>
        </w:rPr>
      </w:pPr>
      <w:r>
        <w:rPr>
          <w:rtl/>
        </w:rPr>
        <w:br w:type="page"/>
      </w:r>
    </w:p>
    <w:p w:rsidR="00603421" w:rsidRDefault="00000000">
      <w:pPr>
        <w:rPr>
          <w:rtl/>
        </w:rPr>
      </w:pPr>
      <w:r>
        <w:pict>
          <v:shape id="_x0000_s29750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9750" inset="0,0,0,0">
              <w:txbxContent>
                <w:p w:rsidR="001F79B1" w:rsidRDefault="001F79B1">
                  <w:r>
                    <w:rPr>
                      <w:rtl/>
                    </w:rPr>
                    <w:t>38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51" o:spid="_x0000_s1037" type="#_x0000_t202" style="position:absolute;left:0;text-align:left;margin-left:79.9pt;margin-top:704.05pt;width:198pt;height:23.95pt;z-index:13;mso-position-horizontal-relative:page;mso-position-vertical-relative:page" stroked="f">
            <v:textbox style="mso-next-textbox:#_x0000_s29751" inset="0,0,0,0">
              <w:txbxContent>
                <w:p w:rsidR="001F79B1" w:rsidRDefault="001F79B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9752" o:spid="_x0000_s1038" type="#_x0000_t202" style="position:absolute;left:0;text-align:left;margin-left:82.3pt;margin-top:60.95pt;width:478.15pt;height:626.65pt;z-index:12;mso-position-horizontal-relative:page;mso-position-vertical-relative:page" stroked="f">
            <v:textbox style="mso-next-textbox:#_x0000_s2975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9"/>
                    <w:gridCol w:w="1674"/>
                  </w:tblGrid>
                  <w:tr w:rsidR="001F79B1" w:rsidRPr="00603421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פסק דין שניתן על ידי בית דין של דן יחיד הוא סופי, אינו טעון אישור ואינו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ניתן לערעור.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F79B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פסקי-דין של</w:t>
                        </w:r>
                      </w:p>
                      <w:p w:rsidR="001F79B1" w:rsidRPr="0060342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דן יחיד</w:t>
                        </w:r>
                      </w:p>
                    </w:tc>
                  </w:tr>
                  <w:tr w:rsidR="001F79B1" w:rsidRPr="00603421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1F79B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פסק דין של בית דין לעבירות תנועה דינו כדין פסק דין שניתן על פי החוקה</w:t>
                        </w:r>
                      </w:p>
                      <w:p w:rsidR="001F79B1" w:rsidRPr="0060342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להוצאתו לפועל.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F79B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הוצאה לפועל</w:t>
                        </w:r>
                      </w:p>
                      <w:p w:rsidR="001F79B1" w:rsidRPr="0060342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 פסקי דין</w:t>
                        </w:r>
                      </w:p>
                    </w:tc>
                  </w:tr>
                  <w:tr w:rsidR="001F79B1" w:rsidRPr="00603421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1F79B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סדרי הדיון בבתי דין לעבירות תנועה, במידה שלא נקבעו בתקנות אלה, יהיו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כסדרי הדיון הנהוגים על פי החוקה בבית דין מחוזי, בשינויים לפי הענין : אך אפשר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לנהוג בבית דין לעבירות תנועה מהלך דיון מקוצר, כמשמעותו בתקנה 159 של</w:t>
                        </w:r>
                      </w:p>
                      <w:p w:rsidR="001F79B1" w:rsidRPr="0060342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F79B1" w:rsidRPr="0060342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דיון</w:t>
                        </w:r>
                      </w:p>
                    </w:tc>
                  </w:tr>
                  <w:tr w:rsidR="001F79B1" w:rsidRPr="00603421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1F79B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בית דין לעבירות תנועה רשאי לקבל כראיה מטעם התביעה הודעה בכתב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אדם שאינו מופיע כעד בבית הדין' אם נראה מתוך ההודעה שהיא חתומה על ידי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ההודעה ושחתימתו אושרה על ידי שוטר, שוטר צבאי או חייל בדרגת סמל או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בדרגה גבוהה הימנה : ואולם בית הדין לא יקבל כראיה הודעה כאמור: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הנאשם דורש שבעל ההודעה יופיע כעד בבית הדין : או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בית הדין סבור כי לשם עשיית משפט צדק רצוי שבעל ההודעה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יופיע כעד בבית הדין.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חייב' מיד לאחר שנתבקש התובע לקבל כראיה הודעה בכתב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בתקנת משנה (א), להודיע לנאשם שהוא זכאי לדרוש שבעל ההודעה יופיע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כעד בבית הדין.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הוגש לבית דין לעבירות תנועה טופס של פקודות המטה הכללי, ישמש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הטופס ראיה חותכת על תכנו.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הוגש לבית דין לעבירות תנועה העתק מפקודודת-קבע של כל יחידת צבא,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העתק מפנקס, מיומן או מרישום אחר המתנהל בכל יחידת צבא על פי פקודת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המטה הכללי או על פי פקודת מפקד היחידה, ונראה מתוך ההעתק שהוא מאושר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כהעתק נכון על ידי מפקד היחידה, - ישמש ההעתק ראיה חותכת על תכנו : ואולם</w:t>
                        </w:r>
                      </w:p>
                      <w:p w:rsidR="001F79B1" w:rsidRPr="0060342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יהיה רשאי, לפי שיקול דעתו, לא לקבל כראיה העתק שהוגש כאמור.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F79B1" w:rsidRPr="0060342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דיני ראיות</w:t>
                        </w:r>
                      </w:p>
                    </w:tc>
                  </w:tr>
                  <w:tr w:rsidR="001F79B1" w:rsidRPr="00603421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1F79B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(א) התובע הצבאי הראשי רשאי למנות חיילים להיות תובעים בפני בתי דין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לעבירות תנועה.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שנתמנה כאמור, סמכויותיו בפני כל בית דין לעבירות תנועה -</w:t>
                        </w:r>
                      </w:p>
                      <w:p w:rsidR="001F79B1" w:rsidRPr="0060342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הנתונות על פי החוקה לתובע צבאי בפני בית דין מחוזי.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F79B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תובעים</w:t>
                        </w:r>
                      </w:p>
                      <w:p w:rsidR="001F79B1" w:rsidRPr="0060342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צבאיים</w:t>
                        </w:r>
                      </w:p>
                    </w:tc>
                  </w:tr>
                  <w:tr w:rsidR="001F79B1" w:rsidRPr="00603421">
                    <w:trPr>
                      <w:jc w:val="right"/>
                    </w:trPr>
                    <w:tc>
                      <w:tcPr>
                        <w:tcW w:w="4037" w:type="pct"/>
                      </w:tcPr>
                      <w:p w:rsidR="001F79B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בית דין של דן יחיד יוכל בכל עת, לפני מתן פסק הדין, להעביר את הדין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דין של שלושה.</w:t>
                        </w:r>
                      </w:p>
                      <w:p w:rsidR="001F79B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חייל שהובא לדין בפני בית דין של דן יחיד זכאי, לאחר שהוקרא לו כתב</w:t>
                        </w:r>
                      </w:p>
                      <w:p w:rsidR="001F79B1" w:rsidRPr="00603421" w:rsidRDefault="001F79B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האשמה ולפני שענה לאשמה, לבקש שדינו יועבר לבית דין של שלושה, ודינו יועבר</w:t>
                        </w:r>
                      </w:p>
                    </w:tc>
                    <w:tc>
                      <w:tcPr>
                        <w:tcW w:w="963" w:type="pct"/>
                      </w:tcPr>
                      <w:p w:rsidR="001F79B1" w:rsidRPr="00603421" w:rsidRDefault="001F79B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הדין</w:t>
                        </w:r>
                      </w:p>
                    </w:tc>
                  </w:tr>
                </w:tbl>
                <w:p w:rsidR="001F79B1" w:rsidRDefault="001F79B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1F79B1" w:rsidRDefault="001F79B1">
      <w:pPr>
        <w:rPr>
          <w:rtl/>
        </w:rPr>
      </w:pPr>
      <w:r>
        <w:rPr>
          <w:rtl/>
        </w:rPr>
        <w:br w:type="page"/>
      </w:r>
    </w:p>
    <w:p w:rsidR="001F79B1" w:rsidRDefault="00000000">
      <w:pPr>
        <w:rPr>
          <w:rtl/>
        </w:rPr>
      </w:pPr>
      <w:r>
        <w:pict>
          <v:shape id="_x0000_s29753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29753" inset="0,0,0,0">
              <w:txbxContent>
                <w:p w:rsidR="001F79B1" w:rsidRDefault="001F79B1">
                  <w:r>
                    <w:rPr>
                      <w:rtl/>
                    </w:rPr>
                    <w:t>39                                           ספר החוקים 30                      י' בטבת התש"י 30.12.1949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54" o:spid="_x0000_s1040" type="#_x0000_t202" style="position:absolute;left:0;text-align:left;margin-left:365.95pt;margin-top:712.85pt;width:192.85pt;height:17.6pt;z-index:18;mso-position-horizontal-relative:page;mso-position-vertical-relative:page" stroked="f">
            <v:textbox style="mso-next-textbox:#_x0000_s29754" inset="0,0,0,0">
              <w:txbxContent>
                <w:p w:rsidR="001F79B1" w:rsidRDefault="001F79B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9755" o:spid="_x0000_s1041" type="#_x0000_t202" style="position:absolute;left:0;text-align:left;margin-left:164.2pt;margin-top:357.25pt;width:146.1pt;height:44.15pt;z-index:17;mso-position-horizontal-relative:page;mso-position-vertical-relative:page" stroked="f">
            <v:textbox style="mso-next-textbox:#_x0000_s29755" inset="0,0,0,0">
              <w:txbxContent>
                <w:p w:rsidR="001F79B1" w:rsidRDefault="001F79B1">
                  <w:pPr>
                    <w:pStyle w:val="OCRStyle4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דוד בן-גיריון</w:t>
                  </w:r>
                </w:p>
                <w:p w:rsidR="001F79B1" w:rsidRDefault="001F79B1">
                  <w:pPr>
                    <w:pStyle w:val="OCRStyle4"/>
                    <w:ind w:left="90"/>
                  </w:pPr>
                  <w:r>
                    <w:rPr>
                      <w:rtl/>
                    </w:rPr>
                    <w:t>ראש הממשלה ושר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56" o:spid="_x0000_s1042" type="#_x0000_t202" style="position:absolute;left:0;text-align:left;margin-left:449.1pt;margin-top:389.9pt;width:104.75pt;height:50.5pt;z-index:16;mso-position-horizontal-relative:page;mso-position-vertical-relative:page" stroked="f">
            <v:textbox style="mso-next-textbox:#_x0000_s29756" inset="0,0,0,0">
              <w:txbxContent>
                <w:p w:rsidR="001F79B1" w:rsidRDefault="001F79B1">
                  <w:pPr>
                    <w:pStyle w:val="OCRStyle4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1F79B1" w:rsidRDefault="001F79B1">
                  <w:pPr>
                    <w:pStyle w:val="OCRStyle4"/>
                    <w:ind w:left="33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57" o:spid="_x0000_s1043" type="#_x0000_t202" style="position:absolute;left:0;text-align:left;margin-left:90.95pt;margin-top:64.6pt;width:481.75pt;height:277.4pt;z-index:15;mso-position-horizontal-relative:page;mso-position-vertical-relative:page" stroked="f">
            <v:textbox style="mso-next-textbox:#_x0000_s29757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6"/>
                    <w:gridCol w:w="7153"/>
                  </w:tblGrid>
                  <w:tr w:rsidR="001F79B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3" w:type="pct"/>
                      </w:tcPr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כמבוקש. בית הדין חייב, מיד לאחר הקראת כתב האשמה, להודיע לנאשם על הזכות</w:t>
                        </w:r>
                      </w:p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הנתונה לו לסי תקנת משנה זו.</w:t>
                        </w:r>
                      </w:p>
                    </w:tc>
                  </w:tr>
                  <w:tr w:rsidR="001F79B1" w:rsidRPr="001F79B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1F79B1" w:rsidRDefault="001F79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העברת סמכות</w:t>
                        </w:r>
                      </w:p>
                      <w:p w:rsidR="001F79B1" w:rsidRP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המטה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1F79B1" w:rsidRDefault="001F79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ראש המטה יוכל להעביר לאחר או לאחרים את הסמכויות הנתונות לו על סי</w:t>
                        </w:r>
                      </w:p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אלה, כולן או מקצתן, חוץ מן הסמכות הנתינה לו על סי תקנה 3 וחוץ מהסמכות</w:t>
                        </w:r>
                      </w:p>
                      <w:p w:rsidR="001F79B1" w:rsidRP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לבטל, לסי תקנה 8 (ב)' ססק-דין של חיוב שניתן על ידי בית דין של שלושה.</w:t>
                        </w:r>
                      </w:p>
                    </w:tc>
                  </w:tr>
                  <w:tr w:rsidR="001F79B1" w:rsidRPr="001F79B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1F79B1" w:rsidRPr="001F79B1" w:rsidRDefault="001F79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  <w:tc>
                      <w:tcPr>
                        <w:tcW w:w="4083" w:type="pct"/>
                      </w:tcPr>
                      <w:p w:rsidR="001F79B1" w:rsidRDefault="001F79B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אין תקנות אלה באות לגרוע מן הסמכויות הנתונות על סי החוק לבתי-</w:t>
                        </w:r>
                      </w:p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המשסט האזרחיים : ואולם בשום פנים לא ישא חייל באחריות סלילית יותר מסעם</w:t>
                        </w:r>
                      </w:p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על אותה עבירה.</w:t>
                        </w:r>
                      </w:p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תקנות אלה באות לגרוע מן הסמכויות הנתונות' על פי החוקה, למוסדות</w:t>
                        </w:r>
                      </w:p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המנגנון המשסטי של הצבא : ואולם משהוגש לבית דין לעבירות תנועה כתב אשמה</w:t>
                        </w:r>
                      </w:p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חייל על עבירת תנועה, אין להביאו לדין על אותה עבירה בפני בית דין הסועל</w:t>
                        </w:r>
                      </w:p>
                      <w:p w:rsidR="001F79B1" w:rsidRP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סי החוקה.</w:t>
                        </w:r>
                      </w:p>
                    </w:tc>
                  </w:tr>
                  <w:tr w:rsidR="001F79B1">
                    <w:trPr>
                      <w:jc w:val="right"/>
                    </w:trPr>
                    <w:tc>
                      <w:tcPr>
                        <w:tcW w:w="917" w:type="pct"/>
                      </w:tcPr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83" w:type="pct"/>
                      </w:tcPr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לתקנות אלה ייקרא ,,תקנות-שעת-חירום (עבירות תנועה - דין חיילים),</w:t>
                        </w:r>
                      </w:p>
                      <w:p w:rsidR="001F79B1" w:rsidRDefault="001F79B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תש"ט-1949".</w:t>
                        </w:r>
                      </w:p>
                    </w:tc>
                  </w:tr>
                </w:tbl>
                <w:p w:rsidR="001F79B1" w:rsidRDefault="001F79B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A0EA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DB1ACB4-9C56-4AC0-8EF9-F187CD48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A0EA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4266ED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603421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F79B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26</Characters>
  <Application>Microsoft Office Word</Application>
  <DocSecurity>4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2008-04-06T17:33:00Z</dcterms:created>
  <dcterms:modified xsi:type="dcterms:W3CDTF">2008-04-06T17:34:00Z</dcterms:modified>
</cp:coreProperties>
</file>