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1A1A" w:rsidRDefault="00051A1A">
      <w:pPr>
        <w:rPr>
          <w:rtl/>
        </w:rPr>
      </w:pPr>
    </w:p>
    <w:p w:rsidR="00051A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761" inset="0,0,0,0">
              <w:txbxContent>
                <w:p w:rsidR="003C4594" w:rsidRDefault="003C4594">
                  <w:r>
                    <w:rPr>
                      <w:rtl/>
                    </w:rPr>
                    <w:t>45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62" o:spid="_x0000_s1026" type="#_x0000_t202" style="position:absolute;left:0;text-align:left;margin-left:320.3pt;margin-top:723.3pt;width:232.25pt;height:36.85pt;z-index:3;mso-position-horizontal-relative:page;mso-position-vertical-relative:page" stroked="f">
            <v:textbox style="mso-next-textbox:#_x0000_s29762" inset="0,0,0,0">
              <w:txbxContent>
                <w:p w:rsidR="003C4594" w:rsidRDefault="003C45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63" o:spid="_x0000_s1027" type="#_x0000_t202" style="position:absolute;left:0;text-align:left;margin-left:117.15pt;margin-top:616.8pt;width:394.8pt;height:91.3pt;z-index:2;mso-position-horizontal-relative:page;mso-position-vertical-relative:page" stroked="f">
            <v:textbox style="mso-next-textbox:#_x0000_s29763" inset="0,0,0,0">
              <w:txbxContent>
                <w:p w:rsidR="003C4594" w:rsidRDefault="003C4594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בסיון תש"ט (7 ביוני 1949). הצעת החוק נתפרסמה  בהצעות</w:t>
                  </w:r>
                </w:p>
                <w:p w:rsidR="003C4594" w:rsidRDefault="003C4594">
                  <w:pPr>
                    <w:pStyle w:val="OCRStyle1"/>
                    <w:ind w:left="9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6 מיום כ''ד באייר תש"ט (23,5.49), עט' 41.</w:t>
                  </w:r>
                </w:p>
                <w:p w:rsidR="003C4594" w:rsidRDefault="003C4594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ע''ר מס' 44 מיום כ' בטבת תש"ט (21.1,49), תוס' ב' עמ' 131,</w:t>
                  </w:r>
                </w:p>
                <w:p w:rsidR="003C4594" w:rsidRDefault="003C4594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ע"ר מס' 20 מיום ד' באלול תש"ח ( 8.9.49 ), תוס' ב', עמ' 106.</w:t>
                  </w:r>
                </w:p>
                <w:p w:rsidR="003C4594" w:rsidRDefault="003C4594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א''י, כרך ב', פרק קב''ח, עמ' 1271.</w:t>
                  </w:r>
                </w:p>
                <w:p w:rsidR="003C4594" w:rsidRPr="00051A1A" w:rsidRDefault="003C4594">
                  <w:pPr>
                    <w:pStyle w:val="OCRStyle1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א''י, ברר נ', עמ' 2237.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64" o:spid="_x0000_s1028" type="#_x0000_t202" style="position:absolute;left:0;text-align:left;margin-left:112.2pt;margin-top:201.8pt;width:406.1pt;height:414.8pt;z-index:1;mso-position-horizontal-relative:page;mso-position-vertical-relative:page" stroked="f">
            <v:textbox style="mso-next-textbox:#_x0000_s29764" inset="0,0,0,0">
              <w:txbxContent>
                <w:p w:rsidR="003C4594" w:rsidRDefault="003C4594">
                  <w:pPr>
                    <w:pStyle w:val="OCRStyle1"/>
                    <w:ind w:left="374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742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3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3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742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60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738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49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3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742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164"/>
                    <w:rPr>
                      <w:rtl/>
                    </w:rPr>
                  </w:pPr>
                </w:p>
                <w:p w:rsidR="003C4594" w:rsidRDefault="003C4594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תקנות-שעת-חירום (עבירות תנועה - דין חיילים), תש"ט-1949</w:t>
                  </w:r>
                </w:p>
                <w:p w:rsidR="003C4594" w:rsidRDefault="003C4594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.פירושים.</w:t>
                  </w:r>
                </w:p>
                <w:p w:rsidR="003C4594" w:rsidRDefault="003C4594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(א) בתקנות אלה -</w:t>
                  </w:r>
                </w:p>
                <w:p w:rsidR="003C4594" w:rsidRDefault="003C4594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"החוקה" פירושה חוקת השיפוט תש"ח 1.</w:t>
                  </w:r>
                </w:p>
                <w:p w:rsidR="003C4594" w:rsidRDefault="003C4594">
                  <w:pPr>
                    <w:pStyle w:val="OCRStyle1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,,עבירת תנועה* פירושה -</w:t>
                  </w:r>
                </w:p>
                <w:p w:rsidR="003C4594" w:rsidRPr="00051A1A" w:rsidRDefault="003C4594">
                  <w:pPr>
                    <w:pStyle w:val="OCRStyle1"/>
                    <w:ind w:left="1116"/>
                  </w:pPr>
                  <w:r>
                    <w:rPr>
                      <w:rtl/>
                    </w:rPr>
                    <w:t>(1) עבירה לפי פקודת התעבורה  3 או לפי תקנות התעבורה 4  או לפי חוק</w:t>
                  </w:r>
                </w:p>
              </w:txbxContent>
            </v:textbox>
            <w10:wrap anchorx="page" anchory="page"/>
          </v:shape>
        </w:pict>
      </w:r>
    </w:p>
    <w:p w:rsidR="00524BDB" w:rsidRDefault="00524BDB">
      <w:pPr>
        <w:rPr>
          <w:rtl/>
        </w:rPr>
      </w:pPr>
      <w:r>
        <w:rPr>
          <w:rtl/>
        </w:rPr>
        <w:br w:type="page"/>
      </w:r>
    </w:p>
    <w:p w:rsidR="00524BDB" w:rsidRDefault="00000000">
      <w:pPr>
        <w:rPr>
          <w:rtl/>
        </w:rPr>
      </w:pPr>
      <w:r>
        <w:pict>
          <v:shape id="_x0000_s297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765" inset="0,0,0,0">
              <w:txbxContent>
                <w:p w:rsidR="003C4594" w:rsidRDefault="003C4594">
                  <w:r>
                    <w:rPr>
                      <w:rtl/>
                    </w:rPr>
                    <w:t>46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66" o:spid="_x0000_s1030" type="#_x0000_t202" style="position:absolute;left:0;text-align:left;margin-left:101.9pt;margin-top:725.05pt;width:196.8pt;height:20.2pt;z-index:6;mso-position-horizontal-relative:page;mso-position-vertical-relative:page" stroked="f">
            <v:textbox style="mso-next-textbox:#_x0000_s29766" inset="0,0,0,0">
              <w:txbxContent>
                <w:p w:rsidR="003C4594" w:rsidRDefault="003C45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767" o:spid="_x0000_s1031" type="#_x0000_t202" style="position:absolute;left:0;text-align:left;margin-left:115.95pt;margin-top:76.4pt;width:427.7pt;height:627.05pt;z-index:5;mso-position-horizontal-relative:page;mso-position-vertical-relative:page" stroked="f">
            <v:textbox style="mso-next-textbox:#_x0000_s29767" inset="0,0,0,0">
              <w:txbxContent>
                <w:p w:rsidR="003C4594" w:rsidRDefault="003C4594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אחר הנוגע לתנועה בדרכים - שחייל יכול להיתבע עליה בבתי-הדין</w:t>
                  </w:r>
                </w:p>
                <w:p w:rsidR="003C4594" w:rsidRDefault="003C4594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של הצבא לפי תקנה 97 של החוקה :</w:t>
                  </w:r>
                </w:p>
                <w:p w:rsidR="003C4594" w:rsidRDefault="003C4594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(2) עבירה לפי תקנה 98 של החוקה על ידי עשיית מעשה או השתמטות</w:t>
                  </w:r>
                </w:p>
                <w:p w:rsidR="003C4594" w:rsidRDefault="003C4594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מעשיית מעשה שלא בהתאם להוראה, לפקודה או לתקנה בענין התנועה</w:t>
                  </w:r>
                </w:p>
                <w:p w:rsidR="003C4594" w:rsidRDefault="003C4594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בדרכים.</w:t>
                  </w:r>
                </w:p>
                <w:p w:rsidR="003C4594" w:rsidRDefault="003C4594">
                  <w:pPr>
                    <w:pStyle w:val="OCRStyle2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(ב) בתקנות אלה תהיה לכל מונח המשמעות שניתנה לו בחוקה, אם אין</w:t>
                  </w:r>
                </w:p>
                <w:p w:rsidR="003C4594" w:rsidRDefault="003C4594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משמעות אחרת נובעת מנוסח הכתוב.</w:t>
                  </w:r>
                </w:p>
                <w:p w:rsidR="003C4594" w:rsidRDefault="003C4594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2 .בתי דין לעבירות תנועה.</w:t>
                  </w:r>
                </w:p>
                <w:p w:rsidR="003C4594" w:rsidRDefault="003C4594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יוקמו בצבא בתי דין לעבירות תנועה.</w:t>
                  </w:r>
                </w:p>
                <w:p w:rsidR="003C4594" w:rsidRDefault="003C4594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3 .שופטי תנועה ודיינים.</w:t>
                  </w:r>
                </w:p>
                <w:p w:rsidR="003C4594" w:rsidRDefault="003C4594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(א) ראש המטה ימנה מבין החיילים שופטי תנועה לצורך תקנות אלה :</w:t>
                  </w:r>
                </w:p>
                <w:p w:rsidR="003C4594" w:rsidRDefault="003C4594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(ב) ראש המטה ימנה מבין החיילים דיינים לצורך תקנות אלה.</w:t>
                  </w:r>
                </w:p>
                <w:p w:rsidR="003C4594" w:rsidRDefault="003C4594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4. הרכב בתי הדין.</w:t>
                  </w:r>
                </w:p>
                <w:p w:rsidR="003C4594" w:rsidRDefault="003C4594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(א) בתי דין לעבירות תנועה הם שנים:</w:t>
                  </w:r>
                </w:p>
                <w:p w:rsidR="003C4594" w:rsidRDefault="003C4594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(1) בית דין של שלושה שבו ישבו בדין שופט תנועה כאב בית הדין</w:t>
                  </w:r>
                </w:p>
                <w:p w:rsidR="003C4594" w:rsidRDefault="003C4594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ושני דיינים ו</w:t>
                  </w:r>
                </w:p>
                <w:p w:rsidR="003C4594" w:rsidRDefault="003C4594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(2) בית דין של דן יחיד שבו ישב בדין שופט תנועה.</w:t>
                  </w:r>
                </w:p>
                <w:p w:rsidR="003C4594" w:rsidRDefault="003C4594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(ב) ראש המטה יקבע את הרכבו של כל בית דין לעבירות תנועה ואת מקום</w:t>
                  </w:r>
                </w:p>
                <w:p w:rsidR="003C4594" w:rsidRDefault="003C4594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מושבו.</w:t>
                  </w:r>
                </w:p>
                <w:p w:rsidR="003C4594" w:rsidRDefault="003C4594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 xml:space="preserve">5. סמכות לשפוט. </w:t>
                  </w:r>
                </w:p>
                <w:p w:rsidR="003C4594" w:rsidRDefault="003C4594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בית דין לעבירות תנועה יהיה מוסמך לשפוט כל חייל, ללא הבדל דרגה,</w:t>
                  </w:r>
                </w:p>
                <w:p w:rsidR="003C4594" w:rsidRDefault="003C4594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על כל עבירת תנועה שנעברה בכל מקום שהוא אחרי שהותקנו תקנות אלה.</w:t>
                  </w:r>
                </w:p>
                <w:p w:rsidR="003C4594" w:rsidRDefault="003C4594">
                  <w:pPr>
                    <w:pStyle w:val="OCRStyle2"/>
                    <w:ind w:left="68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6. סמכות להעניש.</w:t>
                  </w:r>
                </w:p>
                <w:p w:rsidR="003C4594" w:rsidRDefault="003C4594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בית דין לעבירות תנועה מוסמך להטיל על עבירות תנועה את הענשים שבית</w:t>
                  </w:r>
                </w:p>
                <w:p w:rsidR="003C4594" w:rsidRDefault="003C4594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דין מחוזי מוסמך על פי החוקה להטילם על אותן העבירות, ונוסף עליהם, או</w:t>
                  </w:r>
                </w:p>
                <w:p w:rsidR="003C4594" w:rsidRDefault="003C4594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במקומם, מוסמך בית דין לעבירות תנועה להטיל אחד משני הענשים הבאים או</w:t>
                  </w:r>
                </w:p>
                <w:p w:rsidR="003C4594" w:rsidRDefault="003C4594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שניהם:</w:t>
                  </w:r>
                </w:p>
                <w:p w:rsidR="003C4594" w:rsidRDefault="003C4594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(1) שלילת זכות לנהיגת כלי רכב צבאי לתקופה שבית הדין יקבע :</w:t>
                  </w:r>
                </w:p>
                <w:p w:rsidR="003C4594" w:rsidRDefault="003C4594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(2) הורדה בדרגה או שלילתה :</w:t>
                  </w:r>
                </w:p>
                <w:p w:rsidR="003C4594" w:rsidRDefault="003C4594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ואולם בית דין של דן יחיד לא ינכל להטיל אלא עונש מאסר עד עשרים ואחד יום</w:t>
                  </w:r>
                </w:p>
                <w:p w:rsidR="003C4594" w:rsidRDefault="003C4594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או קנס עד עשר לירות או שני הענשים כאחד, או עונש קל ממעצר מחנה מלא</w:t>
                  </w:r>
                </w:p>
                <w:p w:rsidR="003C4594" w:rsidRPr="00524BDB" w:rsidRDefault="003C4594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לפי דרגת הענשים הקבועה בתקנה 99 של החוקה/ ונוסף על ענשים אלה, או</w:t>
                  </w:r>
                </w:p>
              </w:txbxContent>
            </v:textbox>
            <w10:wrap anchorx="page" anchory="page"/>
          </v:shape>
        </w:pict>
      </w:r>
    </w:p>
    <w:p w:rsidR="008915CA" w:rsidRDefault="008915CA">
      <w:pPr>
        <w:rPr>
          <w:rtl/>
        </w:rPr>
      </w:pPr>
      <w:r>
        <w:rPr>
          <w:rtl/>
        </w:rPr>
        <w:br w:type="page"/>
      </w:r>
    </w:p>
    <w:p w:rsidR="008915CA" w:rsidRDefault="00000000">
      <w:pPr>
        <w:rPr>
          <w:rtl/>
        </w:rPr>
      </w:pPr>
      <w:r>
        <w:pict>
          <v:shape id="_x0000_s2976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768" inset="0,0,0,0">
              <w:txbxContent>
                <w:p w:rsidR="003C4594" w:rsidRDefault="003C4594">
                  <w:r>
                    <w:rPr>
                      <w:rtl/>
                    </w:rPr>
                    <w:t>47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69" o:spid="_x0000_s1033" type="#_x0000_t202" style="position:absolute;left:0;text-align:left;margin-left:353.15pt;margin-top:724.05pt;width:199.2pt;height:31.5pt;z-index:10;mso-position-horizontal-relative:page;mso-position-vertical-relative:page" stroked="f">
            <v:textbox style="mso-next-textbox:#_x0000_s29769" inset="0,0,0,0">
              <w:txbxContent>
                <w:p w:rsidR="003C4594" w:rsidRDefault="003C45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770" o:spid="_x0000_s1034" type="#_x0000_t202" style="position:absolute;left:0;text-align:left;margin-left:278.7pt;margin-top:683.7pt;width:221.95pt;height:21.6pt;z-index:9;mso-position-horizontal-relative:page;mso-position-vertical-relative:page" stroked="f">
            <v:textbox style="mso-next-textbox:#_x0000_s29770" inset="0,0,0,0">
              <w:txbxContent>
                <w:p w:rsidR="003C4594" w:rsidRPr="008915CA" w:rsidRDefault="003C4594">
                  <w:pPr>
                    <w:pStyle w:val="OCRStyle3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טס' 062 מיום 14.12.30, תוס' 1,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71" o:spid="_x0000_s1035" type="#_x0000_t202" style="position:absolute;left:0;text-align:left;margin-left:117.35pt;margin-top:82.15pt;width:419.95pt;height:600.35pt;z-index:8;mso-position-horizontal-relative:page;mso-position-vertical-relative:page" stroked="f">
            <v:textbox style="mso-next-textbox:#_x0000_s29771" inset="0,0,0,0">
              <w:txbxContent>
                <w:p w:rsidR="003C4594" w:rsidRDefault="003C4594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במקומם -- עונש שלילת זכות לנהיגת כלי רכב צמד לתקופה שאינה עולה על</w:t>
                  </w:r>
                </w:p>
                <w:p w:rsidR="003C4594" w:rsidRDefault="003C4594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שתי שנים.</w:t>
                  </w:r>
                </w:p>
                <w:p w:rsidR="003C4594" w:rsidRDefault="003C4594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7 .פיצויים,</w:t>
                  </w:r>
                </w:p>
                <w:p w:rsidR="003C4594" w:rsidRDefault="003C4594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לבית דין לעבירות תנועה תהיה הסמכות הנתונה לבית משפט על פי סעיף</w:t>
                  </w:r>
                </w:p>
                <w:p w:rsidR="003C4594" w:rsidRDefault="003C4594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43 לפקודת החוק הפלילי, 1936. 1</w:t>
                  </w:r>
                </w:p>
                <w:p w:rsidR="003C4594" w:rsidRDefault="003C4594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8* פסקי דין של שלושה.</w:t>
                  </w:r>
                </w:p>
                <w:p w:rsidR="003C4594" w:rsidRDefault="003C4594">
                  <w:pPr>
                    <w:pStyle w:val="OCRStyle3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(א) פסק דין של זיכוי שניתן על ידי בית דין של שלושה הוא סופי, אינו טעון</w:t>
                  </w:r>
                </w:p>
                <w:p w:rsidR="003C4594" w:rsidRDefault="003C4594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אישור ואינו ניתן לערעור.</w:t>
                  </w:r>
                </w:p>
                <w:p w:rsidR="003C4594" w:rsidRDefault="003C4594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(ב) פסק דין של חיוב שניתן על ידי בית דין של שלושה טעון אישור מאת</w:t>
                  </w:r>
                </w:p>
                <w:p w:rsidR="003C4594" w:rsidRDefault="003C4594">
                  <w:pPr>
                    <w:pStyle w:val="OCRStyle3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ראש המטה. ראש המטה יוכל לאשר את פסק הדין, או לאשר את החיוב ולהקל</w:t>
                  </w:r>
                </w:p>
                <w:p w:rsidR="003C4594" w:rsidRDefault="003C4594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בעונש, או לבטל את פסק הדין.</w:t>
                  </w:r>
                </w:p>
                <w:p w:rsidR="003C4594" w:rsidRDefault="003C4594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(ג) פסק דין של חיוב שניתן ואושר כאמור, הוא סופי ואינו ניתן לערעור.</w:t>
                  </w:r>
                </w:p>
                <w:p w:rsidR="003C4594" w:rsidRDefault="003C4594">
                  <w:pPr>
                    <w:pStyle w:val="OCRStyle3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(ד) פסק דין של חיוב שניתן על ידי בית דין של שלושה יוצא אל</w:t>
                  </w:r>
                </w:p>
                <w:p w:rsidR="003C4594" w:rsidRDefault="003C4594">
                  <w:pPr>
                    <w:pStyle w:val="OCRStyle3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הפועל מיד לאחר נתינתו' מלבד אם בית הדין או ראש המטה ציווה לעכב את</w:t>
                  </w:r>
                </w:p>
                <w:p w:rsidR="003C4594" w:rsidRDefault="003C4594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ההוצאה לפועל של פסק הדין עד לאישורו.</w:t>
                  </w:r>
                </w:p>
                <w:p w:rsidR="003C4594" w:rsidRDefault="003C4594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9 .פסקי-דין של דן יחיד.</w:t>
                  </w:r>
                </w:p>
                <w:p w:rsidR="003C4594" w:rsidRDefault="003C4594">
                  <w:pPr>
                    <w:pStyle w:val="OCRStyle3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פסק דין שניתן על ידי בית דין של דן יחיד הוא סופי, אינו טעון אישור ואיני</w:t>
                  </w:r>
                </w:p>
                <w:p w:rsidR="003C4594" w:rsidRDefault="003C4594">
                  <w:pPr>
                    <w:pStyle w:val="OCRStyle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ניתן לערעור.</w:t>
                  </w:r>
                </w:p>
                <w:p w:rsidR="003C4594" w:rsidRDefault="003C4594">
                  <w:pPr>
                    <w:pStyle w:val="OCRStyle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10* הוצאה לפועל של פסקי דין.</w:t>
                  </w:r>
                </w:p>
                <w:p w:rsidR="003C4594" w:rsidRDefault="003C4594">
                  <w:pPr>
                    <w:pStyle w:val="OCRStyle3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פסק דין של בית דין לעבירות תנועה דינו כדין פסק דין שניתן על פי החוקה</w:t>
                  </w:r>
                </w:p>
                <w:p w:rsidR="003C4594" w:rsidRDefault="003C4594">
                  <w:pPr>
                    <w:pStyle w:val="OCRStyle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בכל הנוגע להוצאתו לפועל.</w:t>
                  </w:r>
                </w:p>
                <w:p w:rsidR="003C4594" w:rsidRDefault="003C4594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11 .סדרי דיון.</w:t>
                  </w:r>
                </w:p>
                <w:p w:rsidR="003C4594" w:rsidRDefault="003C4594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סדרי הדיון בבתי דין לעבירות תנועה, במידה שלא נקבעו בתקנות אלה, יהיו</w:t>
                  </w:r>
                </w:p>
                <w:p w:rsidR="003C4594" w:rsidRDefault="003C4594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בסדרי הדיון הנהוגים על פי החוקה בבית דין מחוזי, בשינויים לפי הענין$ אן</w:t>
                  </w:r>
                </w:p>
                <w:p w:rsidR="003C4594" w:rsidRDefault="003C4594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אפשר יהיה לנהוג בבית דין לעבירות תנועה מהלך דית מקוצר, כמשמעותו</w:t>
                  </w:r>
                </w:p>
                <w:p w:rsidR="003C4594" w:rsidRDefault="003C4594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בתקנה 159 של החוקה.</w:t>
                  </w:r>
                </w:p>
                <w:p w:rsidR="003C4594" w:rsidRDefault="003C4594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12* דיני ראיות.</w:t>
                  </w:r>
                </w:p>
                <w:p w:rsidR="003C4594" w:rsidRDefault="003C4594">
                  <w:pPr>
                    <w:pStyle w:val="OCRStyle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(א) בית דין לעבירות תנועה רשאי לקבל כראיה מטעם התביעה הודעה בכתב</w:t>
                  </w:r>
                </w:p>
                <w:p w:rsidR="003C4594" w:rsidRDefault="003C4594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של אדם שאינו  מופיע כעד בבית הדין, אם נראה מתוך ההודעה שהיא חתומה על</w:t>
                  </w:r>
                </w:p>
                <w:p w:rsidR="003C4594" w:rsidRDefault="003C4594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ידי בעל ההודעה ושחתימתו אושרה על ידי שוטר, שוטר צבאי או חייל בדרגת</w:t>
                  </w:r>
                </w:p>
                <w:p w:rsidR="003C4594" w:rsidRPr="008915CA" w:rsidRDefault="003C4594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סמל או בדרגה גבוהה הימנה : ואולם בית הדין לא יקבל כראיה הודעה כאמור:</w:t>
                  </w:r>
                </w:p>
              </w:txbxContent>
            </v:textbox>
            <w10:wrap anchorx="page" anchory="page"/>
          </v:shape>
        </w:pict>
      </w:r>
    </w:p>
    <w:p w:rsidR="007F2BF8" w:rsidRDefault="007F2BF8">
      <w:pPr>
        <w:rPr>
          <w:rtl/>
        </w:rPr>
      </w:pPr>
      <w:r>
        <w:rPr>
          <w:rtl/>
        </w:rPr>
        <w:br w:type="page"/>
      </w:r>
    </w:p>
    <w:p w:rsidR="007F2BF8" w:rsidRDefault="00000000">
      <w:pPr>
        <w:rPr>
          <w:rtl/>
        </w:rPr>
      </w:pPr>
      <w:r>
        <w:pict>
          <v:shape id="_x0000_s2977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772" inset="0,0,0,0">
              <w:txbxContent>
                <w:p w:rsidR="003C4594" w:rsidRDefault="003C4594">
                  <w:r>
                    <w:rPr>
                      <w:rtl/>
                    </w:rPr>
                    <w:t>48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73" o:spid="_x0000_s1037" type="#_x0000_t202" style="position:absolute;left:0;text-align:left;margin-left:94.4pt;margin-top:723.65pt;width:196.8pt;height:37.8pt;z-index:13;mso-position-horizontal-relative:page;mso-position-vertical-relative:page" stroked="f">
            <v:textbox style="mso-next-textbox:#_x0000_s29773" inset="0,0,0,0">
              <w:txbxContent>
                <w:p w:rsidR="003C4594" w:rsidRDefault="003C459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774" o:spid="_x0000_s1038" type="#_x0000_t202" style="position:absolute;left:0;text-align:left;margin-left:112.2pt;margin-top:79.2pt;width:422.35pt;height:638.15pt;z-index:12;mso-position-horizontal-relative:page;mso-position-vertical-relative:page" stroked="f">
            <v:textbox style="mso-next-textbox:#_x0000_s29774" inset="0,0,0,0">
              <w:txbxContent>
                <w:p w:rsidR="003C4594" w:rsidRDefault="003C4594">
                  <w:pPr>
                    <w:pStyle w:val="OCRStyle4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(1) אם הנאשם דורש שבעל ההודעה יופיע כעד בבית הדין : או</w:t>
                  </w:r>
                </w:p>
                <w:p w:rsidR="003C4594" w:rsidRDefault="003C4594">
                  <w:pPr>
                    <w:pStyle w:val="OCRStyle4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(2) אם בית הדין סבור כי לשם עשיית משפט צדק רצוי שבעל ההודעה</w:t>
                  </w:r>
                </w:p>
                <w:p w:rsidR="003C4594" w:rsidRDefault="003C4594">
                  <w:pPr>
                    <w:pStyle w:val="OCRStyle4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יופיע כעד בבית הדין.</w:t>
                  </w:r>
                </w:p>
                <w:p w:rsidR="003C4594" w:rsidRDefault="003C4594">
                  <w:pPr>
                    <w:pStyle w:val="OCRStyle4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(ב) בית הדין חייב' מיד לאחר שנתבקש התובע לקבל כראיה הודעה בכתב</w:t>
                  </w:r>
                </w:p>
                <w:p w:rsidR="003C4594" w:rsidRDefault="003C4594">
                  <w:pPr>
                    <w:pStyle w:val="OCRStyle4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כאמור בתקנת משנה (א), להודיע לנאשם שהוא זכאי לדרוש שבעל ההודעה</w:t>
                  </w:r>
                </w:p>
                <w:p w:rsidR="003C4594" w:rsidRDefault="003C4594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יופיע כעד בבית הדין.</w:t>
                  </w:r>
                </w:p>
                <w:p w:rsidR="003C4594" w:rsidRDefault="003C4594">
                  <w:pPr>
                    <w:pStyle w:val="OCRStyle4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(ג) הוגש לבית דין לעבירות תנועה טופס של פקודות המטה הכללי, ישמש</w:t>
                  </w:r>
                </w:p>
                <w:p w:rsidR="003C4594" w:rsidRDefault="003C4594">
                  <w:pPr>
                    <w:pStyle w:val="OCRStyle4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הטופס ראיה חותכת על תכנו.</w:t>
                  </w:r>
                </w:p>
                <w:p w:rsidR="003C4594" w:rsidRDefault="003C4594">
                  <w:pPr>
                    <w:pStyle w:val="OCRStyle4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(ד) הוגש לבית דין לעבירות תנועה העתק מפקודות-קבע של כל יחידת צבא.</w:t>
                  </w:r>
                </w:p>
                <w:p w:rsidR="003C4594" w:rsidRDefault="003C4594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או העתק מפנקס, מיומן או מרישום אחר המתנהל בכל יחידת צבא על פי פקודת</w:t>
                  </w:r>
                </w:p>
                <w:p w:rsidR="003C4594" w:rsidRDefault="003C4594">
                  <w:pPr>
                    <w:pStyle w:val="OCRStyle4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המטה הכללי או על פי פקודת מפקד היחידה, ונראה מתוך ההעתק שהוא מאושר</w:t>
                  </w:r>
                </w:p>
                <w:p w:rsidR="003C4594" w:rsidRDefault="003C4594">
                  <w:pPr>
                    <w:pStyle w:val="OCRStyle4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כהעתק נכון על ידי מפקד היחידה, - ישמש ההעתק ראיה חותכת על תכנו :</w:t>
                  </w:r>
                </w:p>
                <w:p w:rsidR="003C4594" w:rsidRDefault="003C4594">
                  <w:pPr>
                    <w:pStyle w:val="OCRStyle4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ואולם בית הדין יהיה רשאי, לפי שיקול דעתו, לא לקבל כראיה העתק שהוגש</w:t>
                  </w:r>
                </w:p>
                <w:p w:rsidR="003C4594" w:rsidRDefault="003C4594">
                  <w:pPr>
                    <w:pStyle w:val="OCRStyle4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כאמור.</w:t>
                  </w:r>
                </w:p>
                <w:p w:rsidR="003C4594" w:rsidRDefault="003C4594">
                  <w:pPr>
                    <w:pStyle w:val="OCRStyle4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13. סמכות תובעים צבאיים.</w:t>
                  </w:r>
                </w:p>
                <w:p w:rsidR="003C4594" w:rsidRDefault="003C4594">
                  <w:pPr>
                    <w:pStyle w:val="OCRStyle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(א) התובע הצבאי הראשי רשאי למנות חיילים להיות תובעים בפני בתי</w:t>
                  </w:r>
                </w:p>
                <w:p w:rsidR="003C4594" w:rsidRDefault="003C4594">
                  <w:pPr>
                    <w:pStyle w:val="OCRStyle4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דין לעבירות תנועה.</w:t>
                  </w:r>
                </w:p>
                <w:p w:rsidR="003C4594" w:rsidRDefault="003C4594">
                  <w:pPr>
                    <w:pStyle w:val="OCRStyle4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(ב) חייל שנתמנה כאמור, סמכויותיו בפני כל בית דין לעבירות תנועה -</w:t>
                  </w:r>
                </w:p>
                <w:p w:rsidR="003C4594" w:rsidRDefault="003C4594">
                  <w:pPr>
                    <w:pStyle w:val="OCRStyle4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בסמכויות הנתונות על פי החוקה לתובע צבאי בפני בית דין מחוזי.</w:t>
                  </w:r>
                </w:p>
                <w:p w:rsidR="003C4594" w:rsidRDefault="003C4594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14. העברת הדין.</w:t>
                  </w:r>
                </w:p>
                <w:p w:rsidR="003C4594" w:rsidRDefault="003C4594">
                  <w:pPr>
                    <w:pStyle w:val="OCRStyle4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(א) בית דין של דן יחיד יוכל בכל עת, לפני מתן פסק הדין, להעביר את</w:t>
                  </w:r>
                </w:p>
                <w:p w:rsidR="003C4594" w:rsidRDefault="003C4594">
                  <w:pPr>
                    <w:pStyle w:val="OCRStyle4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הדין לבית דין של שלושה.</w:t>
                  </w:r>
                </w:p>
                <w:p w:rsidR="003C4594" w:rsidRDefault="003C4594">
                  <w:pPr>
                    <w:pStyle w:val="OCRStyle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(ב) חייל שהובא לדין בפני בית דין של דן יחיד זכאי, לאחר שהוקרא לו</w:t>
                  </w:r>
                </w:p>
                <w:p w:rsidR="003C4594" w:rsidRDefault="003C4594">
                  <w:pPr>
                    <w:pStyle w:val="OCRStyle4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כתב האשמה ולפני שענה לאשמה, לבקש שדינו יועבר לבית דין של שלושה,</w:t>
                  </w:r>
                </w:p>
                <w:p w:rsidR="003C4594" w:rsidRDefault="003C4594">
                  <w:pPr>
                    <w:pStyle w:val="OCRStyle4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ודינו יועבר כמבוקש. בית הדין חייב, מיד לאחר הקראת כתב האשמה, להודיע</w:t>
                  </w:r>
                </w:p>
                <w:p w:rsidR="003C4594" w:rsidRDefault="003C4594">
                  <w:pPr>
                    <w:pStyle w:val="OCRStyle4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לנאשם על הזכות הנתונה לו לפי תקנת משנה זו.</w:t>
                  </w:r>
                </w:p>
                <w:p w:rsidR="003C4594" w:rsidRDefault="003C4594">
                  <w:pPr>
                    <w:pStyle w:val="OCRStyle4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15 .העברת סמכות ראש הממה.</w:t>
                  </w:r>
                </w:p>
                <w:p w:rsidR="003C4594" w:rsidRDefault="003C4594">
                  <w:pPr>
                    <w:pStyle w:val="OCRStyle4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ראש המטה יוכל להעביר לאחר או לאחרים את הסמכויות הנתונות לו על</w:t>
                  </w:r>
                </w:p>
                <w:p w:rsidR="003C4594" w:rsidRDefault="003C4594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פי תקנות אלה, כולן או מקצתן, חח מן הסמכות הנתונה לו על פי תקנה 3 וחוץ</w:t>
                  </w:r>
                </w:p>
                <w:p w:rsidR="003C4594" w:rsidRDefault="003C4594">
                  <w:pPr>
                    <w:pStyle w:val="OCRStyle4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מהסמכות לבטל, לפי תקנה 8 (ב), פסק-דין של חיוב שניתן על ידי בית דין של</w:t>
                  </w:r>
                </w:p>
                <w:p w:rsidR="003C4594" w:rsidRPr="007F2BF8" w:rsidRDefault="003C4594">
                  <w:pPr>
                    <w:pStyle w:val="OCRStyle4"/>
                    <w:ind w:left="659"/>
                  </w:pPr>
                  <w:r>
                    <w:rPr>
                      <w:rtl/>
                    </w:rPr>
                    <w:t>שלושה.</w:t>
                  </w:r>
                </w:p>
              </w:txbxContent>
            </v:textbox>
            <w10:wrap anchorx="page" anchory="page"/>
          </v:shape>
        </w:pict>
      </w:r>
    </w:p>
    <w:p w:rsidR="00A34B17" w:rsidRDefault="00A34B17">
      <w:pPr>
        <w:rPr>
          <w:rtl/>
        </w:rPr>
      </w:pPr>
      <w:r>
        <w:rPr>
          <w:rtl/>
        </w:rPr>
        <w:br w:type="page"/>
      </w:r>
    </w:p>
    <w:p w:rsidR="00A34B17" w:rsidRDefault="00000000">
      <w:pPr>
        <w:rPr>
          <w:rtl/>
        </w:rPr>
      </w:pPr>
      <w:r>
        <w:pict>
          <v:shape id="_x0000_s29775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9775" inset="0,0,0,0">
              <w:txbxContent>
                <w:p w:rsidR="003C4594" w:rsidRDefault="003C4594">
                  <w:r>
                    <w:rPr>
                      <w:rtl/>
                    </w:rPr>
                    <w:t>49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76" o:spid="_x0000_s1040" type="#_x0000_t202" style="position:absolute;left:0;text-align:left;margin-left:342.3pt;margin-top:708.5pt;width:206.9pt;height:61pt;z-index:18;mso-position-horizontal-relative:page;mso-position-vertical-relative:page" stroked="f">
            <v:textbox style="mso-next-textbox:#_x0000_s29776" inset="0,0,0,0">
              <w:txbxContent>
                <w:p w:rsidR="003C4594" w:rsidRDefault="003C459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9777" o:spid="_x0000_s1041" type="#_x0000_t202" style="position:absolute;left:0;text-align:left;margin-left:171.05pt;margin-top:327.75pt;width:128.1pt;height:49.5pt;z-index:17;mso-position-horizontal-relative:page;mso-position-vertical-relative:page" stroked="f">
            <v:textbox style="mso-next-textbox:#_x0000_s29777" inset="0,0,0,0">
              <w:txbxContent>
                <w:p w:rsidR="003C4594" w:rsidRDefault="003C4594">
                  <w:pPr>
                    <w:pStyle w:val="OCRStyle5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חיים וייצמן</w:t>
                  </w:r>
                </w:p>
                <w:p w:rsidR="003C4594" w:rsidRDefault="003C4594">
                  <w:pPr>
                    <w:pStyle w:val="OCRStyle5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78" o:spid="_x0000_s1042" type="#_x0000_t202" style="position:absolute;left:0;text-align:left;margin-left:348.65pt;margin-top:327.75pt;width:144.75pt;height:59.6pt;z-index:16;mso-position-horizontal-relative:page;mso-position-vertical-relative:page" stroked="f">
            <v:textbox style="mso-next-textbox:#_x0000_s29778" inset="0,0,0,0">
              <w:txbxContent>
                <w:p w:rsidR="003C4594" w:rsidRDefault="003C4594">
                  <w:pPr>
                    <w:pStyle w:val="OCRStyle5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C4594" w:rsidRDefault="003C4594">
                  <w:pPr>
                    <w:pStyle w:val="OCRStyle5"/>
                    <w:ind w:left="331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79" o:spid="_x0000_s1043" type="#_x0000_t202" style="position:absolute;left:0;text-align:left;margin-left:116.4pt;margin-top:75.3pt;width:412.45pt;height:246.1pt;z-index:15;mso-position-horizontal-relative:page;mso-position-vertical-relative:page" stroked="f">
            <v:textbox style="mso-next-textbox:#_x0000_s29779" inset="0,0,0,0">
              <w:txbxContent>
                <w:p w:rsidR="003C4594" w:rsidRDefault="003C4594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16 .שמירת סמכויות.</w:t>
                  </w:r>
                </w:p>
                <w:p w:rsidR="003C4594" w:rsidRDefault="003C4594">
                  <w:pPr>
                    <w:pStyle w:val="OCRStyle5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(א) אין תקנות אלה באות לגרוע מן הסמכויות הנתונות על פי החוק לבתי-</w:t>
                  </w:r>
                </w:p>
                <w:p w:rsidR="003C4594" w:rsidRDefault="003C4594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המשפט האזרחיים : ואולם בשום פנים לא ישא חייל באחריות פלילית יותר מפעם</w:t>
                  </w:r>
                </w:p>
                <w:p w:rsidR="003C4594" w:rsidRDefault="003C4594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אחת על אותה עבירה.</w:t>
                  </w:r>
                </w:p>
                <w:p w:rsidR="003C4594" w:rsidRDefault="003C4594">
                  <w:pPr>
                    <w:pStyle w:val="OCRStyle5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(ב) אין תקנות אלה באות לגרוע מן הסמכויות הנתונות על פי החוקה למוס-</w:t>
                  </w:r>
                </w:p>
                <w:p w:rsidR="003C4594" w:rsidRDefault="003C4594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דות המנגנון המשפטי של הצבא : ואולם משהוגש לבית דין לעבירות תנועה כתב</w:t>
                  </w:r>
                </w:p>
                <w:p w:rsidR="003C4594" w:rsidRDefault="003C4594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אשמה נגד חייל על עבירת תנועה, אין להביאו לדין על אותה עבירה בפני בית</w:t>
                  </w:r>
                </w:p>
                <w:p w:rsidR="003C4594" w:rsidRDefault="003C4594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דין הפועל על פי החוקה.</w:t>
                  </w:r>
                </w:p>
                <w:p w:rsidR="003C4594" w:rsidRDefault="003C4594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17 .השם..</w:t>
                  </w:r>
                </w:p>
                <w:p w:rsidR="003C4594" w:rsidRDefault="003C4594">
                  <w:pPr>
                    <w:pStyle w:val="OCRStyle5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לתקנות אלה ייקרא ,,תקנות-שעת-חירום (עבירות תנועה - דין חיילים),</w:t>
                  </w:r>
                </w:p>
                <w:p w:rsidR="003C4594" w:rsidRDefault="003C4594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תשיט - 1949."</w:t>
                  </w:r>
                </w:p>
                <w:p w:rsidR="003C4594" w:rsidRPr="00A34B17" w:rsidRDefault="003C4594">
                  <w:pPr>
                    <w:pStyle w:val="OCRStyle5"/>
                    <w:ind w:left="482"/>
                  </w:pPr>
                  <w:r>
                    <w:rPr>
                      <w:rtl/>
                    </w:rPr>
                    <w:t>י' בסיון תש"ט (7 ביוני 1949)</w:t>
                  </w:r>
                </w:p>
              </w:txbxContent>
            </v:textbox>
            <w10:wrap anchorx="page" anchory="page"/>
          </v:shape>
        </w:pict>
      </w:r>
    </w:p>
    <w:p w:rsidR="003C4594" w:rsidRDefault="003C4594">
      <w:pPr>
        <w:rPr>
          <w:rtl/>
        </w:rPr>
      </w:pPr>
      <w:r>
        <w:rPr>
          <w:rtl/>
        </w:rPr>
        <w:br w:type="page"/>
      </w:r>
    </w:p>
    <w:p w:rsidR="003C4594" w:rsidRDefault="00000000">
      <w:pPr>
        <w:rPr>
          <w:rtl/>
        </w:rPr>
      </w:pPr>
      <w:r>
        <w:pict>
          <v:shape id="_x0000_s29780" o:spid="_x0000_s1044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9780" inset="0,0,0,0">
              <w:txbxContent>
                <w:p w:rsidR="003C4594" w:rsidRDefault="003C4594">
                  <w:r>
                    <w:rPr>
                      <w:rtl/>
                    </w:rPr>
                    <w:t>50                                           ספר החוקים 11                     י' בניסן התש"ט 09.04.1949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1A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E7958D-ABF7-4FC0-A61B-50307FC5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1A1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24BD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915CA"/>
    <w:rPr>
      <w:rFonts w:ascii="Arial" w:hAnsi="Arial" w:cs="Arial"/>
    </w:rPr>
  </w:style>
  <w:style w:type="paragraph" w:customStyle="1" w:styleId="OCRStyle4">
    <w:name w:val="OCR Style #4"/>
    <w:basedOn w:val="a"/>
    <w:rsid w:val="007F2BF8"/>
    <w:rPr>
      <w:rFonts w:ascii="Arial" w:hAnsi="Arial" w:cs="Arial"/>
    </w:rPr>
  </w:style>
  <w:style w:type="paragraph" w:customStyle="1" w:styleId="OCRStyle5">
    <w:name w:val="OCR Style #5"/>
    <w:basedOn w:val="a"/>
    <w:rsid w:val="00A34B1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C459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2008-04-06T17:33:00Z</dcterms:created>
  <dcterms:modified xsi:type="dcterms:W3CDTF">2008-04-06T17:34:00Z</dcterms:modified>
</cp:coreProperties>
</file>