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133F" w:rsidRDefault="001F133F">
      <w:pPr>
        <w:rPr>
          <w:rtl/>
        </w:rPr>
      </w:pPr>
    </w:p>
    <w:p w:rsidR="001F13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781" inset="0,0,0,0">
              <w:txbxContent>
                <w:p w:rsidR="00FE2543" w:rsidRDefault="00FE2543">
                  <w:r>
                    <w:rPr>
                      <w:rtl/>
                    </w:rPr>
                    <w:t>98                                           ספר החוקים 849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82" o:spid="_x0000_s1026" type="#_x0000_t202" style="position:absolute;left:0;text-align:left;margin-left:98.45pt;margin-top:654.8pt;width:386.1pt;height:73.05pt;z-index:3;mso-position-horizontal-relative:page;mso-position-vertical-relative:page" stroked="f">
            <v:textbox style="mso-next-textbox:#_x0000_s29782" inset="0,0,0,0">
              <w:txbxContent>
                <w:p w:rsidR="00FE2543" w:rsidRDefault="00FE2543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תשל"ז (1 במרס 1977); הצעת החוק ודברי הסבר פורסמו בה"ח 1235, תשל"ו,</w:t>
                  </w:r>
                </w:p>
                <w:p w:rsidR="00FE2543" w:rsidRDefault="00FE254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עמי 218.</w:t>
                  </w:r>
                </w:p>
                <w:p w:rsidR="00FE2543" w:rsidRDefault="00FE2543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 מ"ח תשל"ג, עמ' 203, עמ' 368; תשל"ח, עמ' 40.</w:t>
                  </w:r>
                </w:p>
                <w:p w:rsidR="00FE2543" w:rsidRPr="001F133F" w:rsidRDefault="00FE2543">
                  <w:pPr>
                    <w:pStyle w:val="OCRStyle1"/>
                    <w:ind w:left="4018"/>
                  </w:pPr>
                  <w:r>
                    <w:rPr>
                      <w:rtl/>
                    </w:rPr>
                    <w:t>ספר החוקים 849, כ''א באדר תשל"ז, 11.3.1977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83" o:spid="_x0000_s1027" type="#_x0000_t202" style="position:absolute;left:0;text-align:left;margin-left:93.5pt;margin-top:113.5pt;width:462.35pt;height:537.75pt;z-index:2;mso-position-horizontal-relative:page;mso-position-vertical-relative:page" stroked="f">
            <v:textbox style="mso-next-textbox:#_x0000_s297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9"/>
                    <w:gridCol w:w="1352"/>
                    <w:gridCol w:w="1108"/>
                  </w:tblGrid>
                  <w:tr w:rsidR="00FE2543" w:rsidRPr="001F133F">
                    <w:trPr>
                      <w:jc w:val="right"/>
                    </w:trPr>
                    <w:tc>
                      <w:tcPr>
                        <w:tcW w:w="4341" w:type="pct"/>
                        <w:gridSpan w:val="2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בתקנה 2 לתקנות-שעת-חירום (פיקוח על כלי שיט), תש"ח-11948 (להלן-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 -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"או המושכר לאזרח ישראלי או לתושב ישראל" יבוא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"לרבות כלי שיט שהופטר מרישום במרשם הישראלי לפי החוק האמור ואינו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כמרשם חוץ";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יבוא;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הדורשות לבצע בכלי שיט הובלה או הובלות מהסוג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בהוראה' באזורים ובתנאים שנקבעו בה;"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(7)' בסופה יבוא "או כאמור בתקנות 5א או 5כ";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(12)' כסופה יבוא "או לצוות אותו' דרך כלל או לפי תפקידים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שפורטו' בבני אדם שהם אזרחים ישראליים או תושבי ישראל או שהשר מצא</w:t>
                        </w:r>
                      </w:p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ראויים לכך, כפי שנקבע בהוראות כאמור".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</w:t>
                        </w:r>
                      </w:p>
                    </w:tc>
                  </w:tr>
                  <w:tr w:rsidR="00FE2543" w:rsidRPr="001F133F">
                    <w:trPr>
                      <w:jc w:val="right"/>
                    </w:trPr>
                    <w:tc>
                      <w:tcPr>
                        <w:tcW w:w="4341" w:type="pct"/>
                        <w:gridSpan w:val="2"/>
                      </w:tcPr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תקנה 5 לתקנות יבוא:</w:t>
                        </w:r>
                      </w:p>
                    </w:tc>
                    <w:tc>
                      <w:tcPr>
                        <w:tcW w:w="659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תקנות</w:t>
                        </w:r>
                      </w:p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 עד 5ד</w:t>
                        </w:r>
                      </w:p>
                    </w:tc>
                  </w:tr>
                  <w:tr w:rsidR="00FE2543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דמי חכירה או מחירי הובלה שניתן לקבוע אותם לפי תקנה 2' יכול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בין לפני החכירה' ההפלגה או ההובלה' כין במהלכה' ובין לאחר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סיומה' ורשאי השר לקבוע חובת תשלום מקדמות על חשבונם ואת אופן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של המקדמות ומועדי תשלומן.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דמי</w:t>
                        </w:r>
                      </w:p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 ומקדמות</w:t>
                        </w:r>
                      </w:p>
                    </w:tc>
                    <w:tc>
                      <w:tcPr>
                        <w:tcW w:w="659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2543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ניתנה הוראה לפי תקנה 2(2א)' (5) או (7) ולא נקבעו בה תנאי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או ההובלה' ולא הגיעו הצדדים לידי הסכם על תנאי החכירה או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ההובלה' כולם או מקצתם, עד מועד סיום ההובלה או החכירה שלפי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או עד מועד קצר מזה שנקבע בהוראה, יקבע אותם השר לפי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כקשת אחד הצדדים.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תנאי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 או הוגלה</w:t>
                        </w:r>
                      </w:p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659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2543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השר רשאי, אם ראה צורך בכך מטעמים שבבטחון המדינה או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שבקיום אספקה ושירותים חיוניים, ליתן הוראות לאזרח ישראלי או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ישראל' שהוא חוכר של כלי שיט הרשום במדינת חוץ, על דרך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זכויותיו לפי שטר החכירה לצורך עשיית כל פעולה מהפעולות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בתקנה 2.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הוראות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לחוכר כלי שיט</w:t>
                        </w:r>
                      </w:p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</w:t>
                        </w:r>
                      </w:p>
                    </w:tc>
                    <w:tc>
                      <w:tcPr>
                        <w:tcW w:w="659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2543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(א) השר רשאי, אם ראה צורך בכך מטעמים שבבטחון המדינה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שבקיום אספקה ושירותים חיוניים, ליתן פטור כללי או מיוחד' בסיי-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גים או שלא בסייגים, ממילוי הוראה שבכל חיקוק שהוא ממונה על ביצו-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עו, הנוגעת לכלי שיט הנמצא בישראל או לכלי שיט שהוראות תקנות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2' 7(ג) או 7א חלות עליו כאשר הוא' ובלבד ששוכנע שאין במתן הפטור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לסכן חיי בני אדם באופן ברור וגלוי.</w:t>
                        </w:r>
                      </w:p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?י</w:t>
                        </w:r>
                      </w:p>
                    </w:tc>
                    <w:tc>
                      <w:tcPr>
                        <w:tcW w:w="804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ממילוי</w:t>
                        </w:r>
                      </w:p>
                      <w:p w:rsidR="00FE2543" w:rsidRPr="001F133F" w:rsidRDefault="00FE25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מסויימים</w:t>
                        </w:r>
                      </w:p>
                    </w:tc>
                    <w:tc>
                      <w:tcPr>
                        <w:tcW w:w="659" w:type="pct"/>
                      </w:tcPr>
                      <w:p w:rsidR="00FE2543" w:rsidRDefault="00FE25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E2543" w:rsidRDefault="00FE25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84" o:spid="_x0000_s1028" type="#_x0000_t202" style="position:absolute;left:0;text-align:left;margin-left:102.6pt;margin-top:71.3pt;width:373.8pt;height:39.6pt;z-index:1;mso-position-horizontal-relative:page;mso-position-vertical-relative:page" stroked="f">
            <v:textbox style="mso-next-textbox:#_x0000_s29784" inset="0,0,0,0">
              <w:txbxContent>
                <w:p w:rsidR="00FE2543" w:rsidRDefault="00FE2543">
                  <w:pPr>
                    <w:pStyle w:val="OCRStyle1"/>
                    <w:ind w:left="7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תקנות-שעת-חירום (פיקוח על כלי שיט) (מס' 3),</w:t>
                  </w:r>
                </w:p>
                <w:p w:rsidR="00FE2543" w:rsidRPr="001F133F" w:rsidRDefault="00FE2543">
                  <w:pPr>
                    <w:pStyle w:val="OCRStyle1"/>
                    <w:ind w:left="259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תשל"ז-1977*</w:t>
                  </w:r>
                </w:p>
              </w:txbxContent>
            </v:textbox>
            <w10:wrap anchorx="page" anchory="page"/>
          </v:shape>
        </w:pict>
      </w:r>
    </w:p>
    <w:p w:rsidR="00FE2543" w:rsidRDefault="00FE2543">
      <w:pPr>
        <w:rPr>
          <w:rtl/>
        </w:rPr>
      </w:pPr>
      <w:r>
        <w:rPr>
          <w:rtl/>
        </w:rPr>
        <w:br w:type="page"/>
      </w:r>
    </w:p>
    <w:p w:rsidR="00FE2543" w:rsidRDefault="00000000">
      <w:pPr>
        <w:rPr>
          <w:rtl/>
        </w:rPr>
      </w:pPr>
      <w:r>
        <w:pict>
          <v:shape id="_x0000_s2978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785" inset="0,0,0,0">
              <w:txbxContent>
                <w:p w:rsidR="00FE2543" w:rsidRDefault="00FE2543">
                  <w:r>
                    <w:rPr>
                      <w:rtl/>
                    </w:rPr>
                    <w:t>99                                           ספר החוקים 849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86" o:spid="_x0000_s1030" type="#_x0000_t202" style="position:absolute;left:0;text-align:left;margin-left:346.5pt;margin-top:657.2pt;width:189.9pt;height:76.45pt;z-index:9;mso-position-horizontal-relative:page;mso-position-vertical-relative:page" stroked="f">
            <v:textbox style="mso-next-textbox:#_x0000_s29786" inset="0,0,0,0">
              <w:txbxContent>
                <w:p w:rsidR="00FE2543" w:rsidRPr="00FE2543" w:rsidRDefault="00FE2543">
                  <w:pPr>
                    <w:pStyle w:val="OCRStyle2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ע"ר 1940, תוס' 1,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87" o:spid="_x0000_s1031" type="#_x0000_t202" style="position:absolute;left:0;text-align:left;margin-left:166.7pt;margin-top:554.45pt;width:81.2pt;height:42pt;z-index:8;mso-position-horizontal-relative:page;mso-position-vertical-relative:page" stroked="f">
            <v:textbox style="mso-next-textbox:#_x0000_s29787" inset="0,0,0,0">
              <w:txbxContent>
                <w:p w:rsidR="00FE2543" w:rsidRDefault="00FE2543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FE2543" w:rsidRDefault="00FE2543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88" o:spid="_x0000_s1032" type="#_x0000_t202" style="position:absolute;left:0;text-align:left;margin-left:276.8pt;margin-top:555.25pt;width:133.05pt;height:53.45pt;z-index:7;mso-position-horizontal-relative:page;mso-position-vertical-relative:page" stroked="f">
            <v:textbox style="mso-next-textbox:#_x0000_s29788" inset="0,0,0,0">
              <w:txbxContent>
                <w:p w:rsidR="00FE2543" w:rsidRDefault="00FE2543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FE2543" w:rsidRDefault="00FE2543">
                  <w:pPr>
                    <w:pStyle w:val="OCRStyle2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החוץ</w:t>
                  </w:r>
                </w:p>
                <w:p w:rsidR="00FE2543" w:rsidRDefault="00FE2543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89" o:spid="_x0000_s1033" type="#_x0000_t202" style="position:absolute;left:0;text-align:left;margin-left:431.25pt;margin-top:595.65pt;width:104.35pt;height:42.55pt;z-index:6;mso-position-horizontal-relative:page;mso-position-vertical-relative:page" stroked="f">
            <v:textbox style="mso-next-textbox:#_x0000_s29789" inset="0,0,0,0">
              <w:txbxContent>
                <w:p w:rsidR="00FE2543" w:rsidRDefault="00FE2543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E2543" w:rsidRDefault="00FE2543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90" o:spid="_x0000_s1034" type="#_x0000_t202" style="position:absolute;left:0;text-align:left;margin-left:86.9pt;margin-top:66.35pt;width:452.85pt;height:472.45pt;z-index:5;mso-position-horizontal-relative:page;mso-position-vertical-relative:page" stroked="f">
            <v:textbox style="mso-next-textbox:#_x0000_s2979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5"/>
                    <w:gridCol w:w="7158"/>
                  </w:tblGrid>
                  <w:tr w:rsidR="00FE254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8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תקנה זו תחול במשך תקופה שיחליטו עליה שר הבטחון ושר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כאחד, אם ראו צורך בבך מטעמים שבבטחון המדינה או בקיום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אספקה ושירותים חיוניים, ושלא תעלה כל פעם על ששה חדשים; ההחלטה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טעונה פרסום ברשומות ויכולה להיות כללית או מסוייגת כין לגבי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חיקוקים מסויימים ובין לפי מבחנים אחרים ובין כקיום תנאים שייקבעו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בה.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על אף האמור בתקנה 22 ובכל דין אחר' סמכויות השרים לפי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תקנת משנה (ב) אינן ניתנות לאצילה."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בתקנה 8 (א) לתקנות' אחרי "מטעמים שבכטחון המדינה" יבוא "או שבקיום אספקה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 חיוניים",</w:t>
                        </w:r>
                      </w:p>
                    </w:tc>
                  </w:tr>
                  <w:tr w:rsidR="00FE254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FE2543" w:rsidRPr="00FE2543" w:rsidRDefault="00FE25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18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בתקנה 18 לתקנות, בסופה יבוא "ולרבות קביעת צופן למתן הוראות לפי תקנות אלה,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שבהן יובא הצופן לידיעת הנמענים ואמצעי הזהירות שינקטו בשמירה עליו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ובשימוש בו".</w:t>
                        </w:r>
                      </w:p>
                    </w:tc>
                  </w:tr>
                  <w:tr w:rsidR="00FE2543" w:rsidRPr="00FE254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FE2543" w:rsidRPr="00FE2543" w:rsidRDefault="00FE25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25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FE2543" w:rsidRDefault="00FE25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בתקנה 25 לתקנות -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תקנת משנה (א) יבוא: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חייב השר' בהוראה לפי תקנה 2(7)' אדם פלוני להחכיר כלי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שיט' וקבע את דמי החכירה או תנאיה מכוח התקנה האמורה או מכוח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5ב' או קבע תשלום מקדמה או מועדו מכוח תקנה 5ב' רשאי כל מי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שרואה עצמו נפגע על ידי קביעה כאמור לערוך עליה לפני בית הדין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אניות שלפי סעיף 10 לפקודת הפיצויים (הגנה), 21940, ובית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האמור רשאי לאשר את הקביעה או לשנותה.";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בסופה יבוא;</w:t>
                        </w:r>
                      </w:p>
                      <w:p w:rsid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המשפטים רשאי לקבוע סדרי דין מיוחדים לדיון בעררים</w:t>
                        </w:r>
                      </w:p>
                      <w:p w:rsidR="00FE2543" w:rsidRP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זו."</w:t>
                        </w:r>
                      </w:p>
                    </w:tc>
                  </w:tr>
                  <w:tr w:rsidR="00FE2543" w:rsidRPr="00FE2543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FE2543" w:rsidRPr="00FE2543" w:rsidRDefault="00FE25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מונחים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FE2543" w:rsidRDefault="00FE254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בכל מקום שנאמר כתקנות "שכירות" או ניב הנגזר ממנה יבוא "חכירה" או ניב</w:t>
                        </w:r>
                      </w:p>
                      <w:p w:rsidR="00FE2543" w:rsidRPr="00FE2543" w:rsidRDefault="00FE25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הנגזר ממנה.</w:t>
                        </w:r>
                      </w:p>
                    </w:tc>
                  </w:tr>
                </w:tbl>
                <w:p w:rsidR="00FE2543" w:rsidRDefault="00FE25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13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E7E31B-D2D0-4AA4-B283-4C55CC4A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13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E25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2008-04-06T22:59:00Z</dcterms:created>
  <dcterms:modified xsi:type="dcterms:W3CDTF">2008-04-06T22:59:00Z</dcterms:modified>
</cp:coreProperties>
</file>