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16D2B" w:rsidRDefault="00F16D2B">
      <w:pPr>
        <w:rPr>
          <w:rtl/>
        </w:rPr>
      </w:pPr>
    </w:p>
    <w:p w:rsidR="00F16D2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814" o:spid="_x0000_s1025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9814" inset="0,0,0,0">
              <w:txbxContent>
                <w:p w:rsidR="00F16D2B" w:rsidRDefault="00F16D2B">
                  <w:r>
                    <w:rPr>
                      <w:rtl/>
                    </w:rPr>
                    <w:t>26                                           ספר החוקים 612                    י' בטבת התשל"א 07.01.1971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15" o:spid="_x0000_s1026" type="#_x0000_t202" style="position:absolute;left:0;text-align:left;margin-left:93.5pt;margin-top:736.4pt;width:160pt;height:24.15pt;z-index:9;mso-wrap-style:none;mso-position-horizontal-relative:page;mso-position-vertical-relative:page" stroked="f">
            <v:textbox style="mso-next-textbox:#_x0000_s29815" inset="0,0,0,0">
              <w:txbxContent>
                <w:p w:rsidR="00F16D2B" w:rsidRPr="00F16D2B" w:rsidRDefault="00F16D2B">
                  <w:pPr>
                    <w:pStyle w:val="OCRStyle1"/>
                    <w:ind w:left="3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612, י' בטבת תשל"א, 7.1.1971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16" o:spid="_x0000_s1027" type="#_x0000_t202" style="position:absolute;left:0;text-align:left;margin-left:89.1pt;margin-top:581.4pt;width:392.65pt;height:72.45pt;z-index:8;mso-wrap-style:none;mso-position-horizontal-relative:page;mso-position-vertical-relative:page" stroked="f">
            <v:textbox style="mso-next-textbox:#_x0000_s29816" inset="0,0,0,0">
              <w:txbxContent>
                <w:p w:rsidR="00F16D2B" w:rsidRDefault="00F16D2B">
                  <w:pPr>
                    <w:pStyle w:val="OCRStyle1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בטבת תשל"א (29 בדצמבר 1970); הגעת החוק ודברי הסבר פורסמו בה"ח 905, תשל"א,</w:t>
                  </w:r>
                </w:p>
                <w:p w:rsidR="00F16D2B" w:rsidRDefault="00F16D2B">
                  <w:pPr>
                    <w:pStyle w:val="OCRStyle1"/>
                    <w:ind w:left="6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8.</w:t>
                  </w:r>
                </w:p>
                <w:p w:rsidR="00F16D2B" w:rsidRDefault="00F16D2B">
                  <w:pPr>
                    <w:pStyle w:val="OCRStyle1"/>
                    <w:ind w:left="5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תשי"ז,עמ' 804; ס"ח תשי"ט, עמ' 15; ס"ח תש"ך, עמ' 42; ס"ח תשכ"א, עמ' 194; ס"ח תשכ"ב, עמ' 92;</w:t>
                  </w:r>
                </w:p>
                <w:p w:rsidR="00F16D2B" w:rsidRPr="00F16D2B" w:rsidRDefault="00F16D2B">
                  <w:pPr>
                    <w:pStyle w:val="OCRStyle1"/>
                    <w:ind w:left="67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ס"ח תשכ"ד, עמ' 40; ס"ח תשכ"ה, עמ' 156; ס"ח תשכ"ז עמ' 14; ס"ח תשכ"ט/ עמי .17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17" o:spid="_x0000_s1028" type="#_x0000_t202" style="position:absolute;left:0;text-align:left;margin-left:113.3pt;margin-top:466.15pt;width:86.15pt;height:37.8pt;z-index:7;mso-wrap-style:none;mso-position-horizontal-relative:page;mso-position-vertical-relative:page" stroked="f">
            <v:textbox style="mso-next-textbox:#_x0000_s29817" inset="0,0,0,0">
              <w:txbxContent>
                <w:p w:rsidR="00F16D2B" w:rsidRDefault="00F16D2B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F16D2B" w:rsidRDefault="00F16D2B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18" o:spid="_x0000_s1029" type="#_x0000_t202" style="position:absolute;left:0;text-align:left;margin-left:225.15pt;margin-top:464.35pt;width:95.65pt;height:39.6pt;z-index:6;mso-wrap-style:none;mso-position-horizontal-relative:page;mso-position-vertical-relative:page" stroked="f">
            <v:textbox style="mso-next-textbox:#_x0000_s29818" inset="0,0,0,0">
              <w:txbxContent>
                <w:p w:rsidR="00F16D2B" w:rsidRDefault="00F16D2B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F16D2B" w:rsidRDefault="00F16D2B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19" o:spid="_x0000_s1030" type="#_x0000_t202" style="position:absolute;left:0;text-align:left;margin-left:340.6pt;margin-top:497.05pt;width:132.45pt;height:38.8pt;z-index:5;mso-wrap-style:none;mso-position-horizontal-relative:page;mso-position-vertical-relative:page" stroked="f">
            <v:textbox style="mso-next-textbox:#_x0000_s29819" inset="0,0,0,0">
              <w:txbxContent>
                <w:p w:rsidR="00F16D2B" w:rsidRDefault="00F16D2B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F16D2B" w:rsidRDefault="00F16D2B">
                  <w:pPr>
                    <w:pStyle w:val="OCRStyle1"/>
                    <w:ind w:left="6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20" o:spid="_x0000_s1031" type="#_x0000_t202" style="position:absolute;left:0;text-align:left;margin-left:79.6pt;margin-top:289.55pt;width:467.5pt;height:158.4pt;z-index:4;mso-wrap-style:none;mso-position-horizontal-relative:page;mso-position-vertical-relative:page" stroked="f">
            <v:textbox style="mso-next-textbox:#_x0000_s29820" inset="0,0,0,0">
              <w:txbxContent>
                <w:tbl>
                  <w:tblPr>
                    <w:tblW w:w="49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7"/>
                    <w:gridCol w:w="1304"/>
                    <w:gridCol w:w="1372"/>
                  </w:tblGrid>
                  <w:tr w:rsidR="00F16D2B" w:rsidRPr="00F16D2B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F16D2B" w:rsidRDefault="00F16D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בתקנה 3, כתקנה 3ב(א) המובאת בה, המלים "או לפי תקנה 105(3) לתקנות-שעת-</w:t>
                        </w:r>
                      </w:p>
                      <w:p w:rsidR="00F16D2B" w:rsidRDefault="00F16D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חירום, תשי"ז-1956" - יימחקו.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F16D2B" w:rsidRPr="00F16D2B" w:rsidRDefault="00F16D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3</w:t>
                        </w:r>
                      </w:p>
                    </w:tc>
                  </w:tr>
                  <w:tr w:rsidR="00F16D2B" w:rsidRPr="00F16D2B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F16D2B" w:rsidRPr="00F16D2B" w:rsidRDefault="00F16D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2.בתקנה 5, כמקום תקנה 12 המובאת בה, יבוא:</w:t>
                        </w:r>
                      </w:p>
                    </w:tc>
                    <w:tc>
                      <w:tcPr>
                        <w:tcW w:w="807" w:type="pct"/>
                      </w:tcPr>
                      <w:p w:rsidR="00F16D2B" w:rsidRPr="00F16D2B" w:rsidRDefault="00F16D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5</w:t>
                        </w:r>
                      </w:p>
                    </w:tc>
                  </w:tr>
                  <w:tr w:rsidR="00F16D2B">
                    <w:trPr>
                      <w:jc w:val="right"/>
                    </w:trPr>
                    <w:tc>
                      <w:tcPr>
                        <w:tcW w:w="3426" w:type="pct"/>
                      </w:tcPr>
                      <w:p w:rsidR="00F16D2B" w:rsidRDefault="00F16D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תקפה של הוראה לפי תקנות אלה לא ייפגע בשל אחד בלבד מאלה:</w:t>
                        </w:r>
                      </w:p>
                      <w:p w:rsidR="00F16D2B" w:rsidRDefault="00F16D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פגם בנוסח, שיבוש כנקיבת השם של כלי שיט או סימן זיהוי אחר שלו,</w:t>
                        </w:r>
                      </w:p>
                      <w:p w:rsidR="00F16D2B" w:rsidRDefault="00F16D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בנקיבת שם הבעלים או רב החובל, או טעות בנקיבת שם או סימן</w:t>
                        </w:r>
                      </w:p>
                      <w:p w:rsidR="00F16D2B" w:rsidRPr="00F16D2B" w:rsidRDefault="00F16D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כשחל בהם שינוי או נתחלפו הבעלים או רב-החובל."</w:t>
                        </w:r>
                      </w:p>
                    </w:tc>
                    <w:tc>
                      <w:tcPr>
                        <w:tcW w:w="767" w:type="pct"/>
                      </w:tcPr>
                      <w:p w:rsidR="00F16D2B" w:rsidRDefault="00F16D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"פגם שיבוש</w:t>
                        </w:r>
                      </w:p>
                      <w:p w:rsidR="00F16D2B" w:rsidRPr="00F16D2B" w:rsidRDefault="00F16D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טעות</w:t>
                        </w:r>
                      </w:p>
                    </w:tc>
                    <w:tc>
                      <w:tcPr>
                        <w:tcW w:w="807" w:type="pct"/>
                      </w:tcPr>
                      <w:p w:rsidR="00F16D2B" w:rsidRDefault="00F16D2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16D2B" w:rsidRPr="00F16D2B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F16D2B" w:rsidRPr="00F16D2B" w:rsidRDefault="00F16D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תקנה 6 - בטלה.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F16D2B" w:rsidRPr="00F16D2B" w:rsidRDefault="00F16D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תקנה 6</w:t>
                        </w:r>
                      </w:p>
                    </w:tc>
                  </w:tr>
                </w:tbl>
                <w:p w:rsidR="00F16D2B" w:rsidRDefault="00F16D2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821" o:spid="_x0000_s1032" type="#_x0000_t202" style="position:absolute;left:0;text-align:left;margin-left:250.9pt;margin-top:250.95pt;width:75.05pt;height:32.65pt;z-index:3;mso-wrap-style:none;mso-position-horizontal-relative:page;mso-position-vertical-relative:page" stroked="f">
            <v:textbox style="mso-next-textbox:#_x0000_s29821" inset="0,0,0,0">
              <w:txbxContent>
                <w:p w:rsidR="00F16D2B" w:rsidRDefault="00F16D2B">
                  <w:pPr>
                    <w:pStyle w:val="OCRStyle1"/>
                    <w:ind w:left="52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תוספת</w:t>
                  </w:r>
                </w:p>
                <w:p w:rsidR="00F16D2B" w:rsidRPr="00F16D2B" w:rsidRDefault="00F16D2B">
                  <w:pPr>
                    <w:pStyle w:val="OCRStyle1"/>
                    <w:ind w:left="486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22" o:spid="_x0000_s1033" type="#_x0000_t202" style="position:absolute;left:0;text-align:left;margin-left:92.5pt;margin-top:150.95pt;width:452.85pt;height:81pt;z-index:2;mso-wrap-style:none;mso-position-horizontal-relative:page;mso-position-vertical-relative:page" stroked="f">
            <v:textbox style="mso-next-textbox:#_x0000_s29822" inset="0,0,0,0">
              <w:txbxContent>
                <w:tbl>
                  <w:tblPr>
                    <w:tblW w:w="48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2"/>
                    <w:gridCol w:w="1250"/>
                  </w:tblGrid>
                  <w:tr w:rsidR="00F16D2B" w:rsidRPr="00F16D2B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F16D2B" w:rsidRDefault="00F16D2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(פיקוח על אניות) (תיקון), תשי"ז-11957, בתיקונים</w:t>
                        </w:r>
                      </w:p>
                      <w:p w:rsidR="00F16D2B" w:rsidRPr="00F16D2B" w:rsidRDefault="00F16D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המפורשים בתוספת, מוארך בזה עד יום י"ג בטבת תשל"ב (31 בדצמבר 1971).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F16D2B" w:rsidRPr="00F16D2B" w:rsidRDefault="00F16D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הארכה תוקף</w:t>
                        </w:r>
                      </w:p>
                    </w:tc>
                  </w:tr>
                  <w:tr w:rsidR="00F16D2B" w:rsidRPr="00F16D2B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F16D2B" w:rsidRPr="00F16D2B" w:rsidRDefault="00F16D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ביום ג' בטבת תשל"א (31 בדצמבר 1970)*</w:t>
                        </w:r>
                      </w:p>
                    </w:tc>
                    <w:tc>
                      <w:tcPr>
                        <w:tcW w:w="759" w:type="pct"/>
                      </w:tcPr>
                      <w:p w:rsidR="00F16D2B" w:rsidRPr="00F16D2B" w:rsidRDefault="00F16D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F16D2B" w:rsidRDefault="00F16D2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823" o:spid="_x0000_s1034" type="#_x0000_t202" style="position:absolute;left:0;text-align:left;margin-left:145.95pt;margin-top:107.2pt;width:257.4pt;height:40.4pt;z-index:1;mso-wrap-style:none;mso-position-horizontal-relative:page;mso-position-vertical-relative:page" stroked="f">
            <v:textbox style="mso-next-textbox:#_x0000_s29823" inset="0,0,0,0">
              <w:txbxContent>
                <w:p w:rsidR="00F16D2B" w:rsidRDefault="00F16D2B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חוק להארכת תוקף של תקנות-שעת-חירום</w:t>
                  </w:r>
                </w:p>
                <w:p w:rsidR="00F16D2B" w:rsidRPr="00F16D2B" w:rsidRDefault="00F16D2B">
                  <w:pPr>
                    <w:pStyle w:val="OCRStyle1"/>
                    <w:ind w:left="356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(פיקוח על אניות) (תיקון), תשל"א-1970*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16D2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83CD268-638B-4F55-9D61-7D20B1D11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16D2B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4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2008-04-09T14:53:00Z</dcterms:created>
  <dcterms:modified xsi:type="dcterms:W3CDTF">2008-04-09T14:53:00Z</dcterms:modified>
</cp:coreProperties>
</file>