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79F1" w:rsidRDefault="007D79F1">
      <w:pPr>
        <w:rPr>
          <w:rtl/>
        </w:rPr>
      </w:pPr>
    </w:p>
    <w:p w:rsidR="007D79F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0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9901" inset="0,0,0,0">
              <w:txbxContent>
                <w:p w:rsidR="005D3896" w:rsidRDefault="005D3896">
                  <w:r>
                    <w:rPr>
                      <w:rtl/>
                    </w:rPr>
                    <w:t>96 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02" o:spid="_x0000_s1026" type="#_x0000_t202" style="position:absolute;left:0;text-align:left;margin-left:74.2pt;margin-top:721.4pt;width:409.85pt;height:87.5pt;z-index:5;mso-position-horizontal-relative:page;mso-position-vertical-relative:page" stroked="f">
            <v:textbox style="mso-next-textbox:#_x0000_s29902" inset="0,0,0,0">
              <w:txbxContent>
                <w:p w:rsidR="005D3896" w:rsidRDefault="005D3896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ביוס ח' בניסן תשי"ז (9 באפריל 1957); הצעת החוק ודברי הסבר נתפרסמו בה"ח 302,</w:t>
                  </w:r>
                </w:p>
                <w:p w:rsidR="005D3896" w:rsidRDefault="005D3896">
                  <w:pPr>
                    <w:pStyle w:val="OCRStyle1"/>
                    <w:ind w:left="5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תשי"ז, עמ' 206</w:t>
                  </w:r>
                </w:p>
                <w:p w:rsidR="005D3896" w:rsidRDefault="005D3896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673, תשי"ז, עמ' 804.</w:t>
                  </w:r>
                </w:p>
                <w:p w:rsidR="005D3896" w:rsidRPr="007D79F1" w:rsidRDefault="005D3896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עייר תש"ח' תוס' א' מס' 21'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03" o:spid="_x0000_s1027" type="#_x0000_t202" style="position:absolute;left:0;text-align:left;margin-left:72.4pt;margin-top:247.8pt;width:492.8pt;height:471.85pt;z-index:4;mso-position-horizontal-relative:page;mso-position-vertical-relative:page" stroked="f">
            <v:textbox style="mso-next-textbox:#_x0000_s2990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4"/>
                    <w:gridCol w:w="1379"/>
                  </w:tblGrid>
                  <w:tr w:rsidR="005D3896" w:rsidRPr="007D79F1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בתקנות-שעת-חירום (פיקוח על אניות), תש"ח-21948 (להלן - התקנות), במקום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"אניה" או "אניות"/ בכל מקום שמדובר בהם, יבוא "כלי שיט".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5D3896" w:rsidRPr="007D79F1" w:rsidRDefault="005D3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מונחים</w:t>
                        </w:r>
                      </w:p>
                    </w:tc>
                  </w:tr>
                  <w:tr w:rsidR="005D3896" w:rsidRPr="007D79F1">
                    <w:trPr>
                      <w:jc w:val="right"/>
                    </w:trPr>
                    <w:tc>
                      <w:tcPr>
                        <w:tcW w:w="4231" w:type="pct"/>
                      </w:tcPr>
                      <w:p w:rsidR="005D3896" w:rsidRDefault="005D3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בתקנה 3 לתקנות -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חרישה תבוא רישה זו: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"שר התחבורה רשאי ליתן הוראות לבעלים ולרכ-החובל של כלי שיט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בישראל או השייך לאזרח ישראל או לתושב ישראל, השכור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או המשועבד להם -";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(ה), בסופה, יבוא "לרבות דמי השכירות";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פסקה ה' יבואו פסקאות אלה: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האוסרות את הפלגתו של כלי השיט מכל נמל או מכל מקום אחר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כניסתו לכל נמל או מקום אחר, או את השטתו של כלי השיט בכל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או אזור שלא על-פי היתר שניתן בדרך הנקובה בהוראות כאמור?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המחייבות את השכרת כלי השיט, כולו או מקצתו, בשכירות ראשית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שכירות משנה, למי שפורט בהוראות, לתקופה ובתנאים ובתשלום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שפורטו בהן: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האוסרות להעביד בכלי השיט אדם או סוג בני אדם, לרבות מי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מחזיק בתעודת זיהוי או באישור המפורטים בהוראה: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האוסרות להעסיק, הן בדרך כלל והן ללא היתר ממי שנקבע בהוראה,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או סוג בני אדם כנציג, סוכן, או מורשה או פקיד, בכל הנוגע לכלי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השיט?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המחייבות נקיטת כל אמצעי בטיחות, זהירות או קשר או האוסרות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המסדירות כל ענין הדרוש לדעתו מטעמי בטחון";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בסוף התקנה תבוא סיפה זו: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"ובלבד ששר התחבורה לא ישתמש בסמכויות לפי הפסקאות (א), (ב)/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(ג), (ד), (ה), (ו), (ז) ו-(י), לתקנה זו, אלא אם ראה צורך בכך לשם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המדינה או לשם קיום אספקה ושירותים חיוניים ולא ישתמש בסמ-</w:t>
                        </w:r>
                      </w:p>
                      <w:p w:rsidR="005D3896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כויות לפי הפסקאות (ח) ו-(ט) לתקנה זו, אלא אם ראה צורך בכך מטעמים</w:t>
                        </w:r>
                      </w:p>
                      <w:p w:rsidR="005D3896" w:rsidRPr="007D79F1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שבבטחון המדינה".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5D3896" w:rsidRPr="007D79F1" w:rsidRDefault="005D3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תקנה 3</w:t>
                        </w:r>
                      </w:p>
                    </w:tc>
                  </w:tr>
                </w:tbl>
                <w:p w:rsidR="005D3896" w:rsidRDefault="005D38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04" o:spid="_x0000_s1028" type="#_x0000_t202" style="position:absolute;left:0;text-align:left;margin-left:143.7pt;margin-top:193.15pt;width:297.4pt;height:54.65pt;z-index:3;mso-position-horizontal-relative:page;mso-position-vertical-relative:page" stroked="f">
            <v:textbox style="mso-next-textbox:#_x0000_s29904" inset="0,0,0,0">
              <w:txbxContent>
                <w:p w:rsidR="005D3896" w:rsidRDefault="005D3896">
                  <w:pPr>
                    <w:pStyle w:val="OCRStyle1"/>
                    <w:ind w:left="236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5D3896" w:rsidRDefault="005D3896">
                  <w:pPr>
                    <w:pStyle w:val="OCRStyle1"/>
                    <w:ind w:left="2527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5D3896" w:rsidRPr="007D79F1" w:rsidRDefault="005D3896">
                  <w:pPr>
                    <w:pStyle w:val="OCRStyle1"/>
                    <w:ind w:left="616"/>
                  </w:pPr>
                  <w:r>
                    <w:rPr>
                      <w:rtl/>
                    </w:rPr>
                    <w:t>תקנות-שעת-חירום לתיקון סדרי הפיקוח על אניות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05" o:spid="_x0000_s1029" type="#_x0000_t202" style="position:absolute;left:0;text-align:left;margin-left:82.5pt;margin-top:114.75pt;width:481.75pt;height:63.75pt;z-index:2;mso-position-horizontal-relative:page;mso-position-vertical-relative:page" stroked="f">
            <v:textbox style="mso-next-textbox:#_x0000_s2990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3"/>
                    <w:gridCol w:w="1246"/>
                  </w:tblGrid>
                  <w:tr w:rsidR="005D3896" w:rsidRPr="007D79F1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5D3896" w:rsidRDefault="005D389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(פיקוח על אניות) (תיקון), תשי"ז-1957 1, בנוסח</w:t>
                        </w:r>
                      </w:p>
                      <w:p w:rsidR="005D3896" w:rsidRPr="007D79F1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המפורש בתוספת' מוארך בזה עד יום ח' בטבת תשי"ח (31 בדצמבר 1957).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5D3896" w:rsidRPr="007D79F1" w:rsidRDefault="005D3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5D3896" w:rsidRPr="007D79F1">
                    <w:trPr>
                      <w:jc w:val="right"/>
                    </w:trPr>
                    <w:tc>
                      <w:tcPr>
                        <w:tcW w:w="4289" w:type="pct"/>
                      </w:tcPr>
                      <w:p w:rsidR="005D3896" w:rsidRPr="007D79F1" w:rsidRDefault="005D389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 תחילתו של חוק זה היא ביום כ"ו בניסן תשי"ז (27 באפריל 1957).</w:t>
                        </w:r>
                      </w:p>
                    </w:tc>
                    <w:tc>
                      <w:tcPr>
                        <w:tcW w:w="711" w:type="pct"/>
                      </w:tcPr>
                      <w:p w:rsidR="005D3896" w:rsidRPr="007D79F1" w:rsidRDefault="005D389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D3896" w:rsidRDefault="005D389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06" o:spid="_x0000_s1030" type="#_x0000_t202" style="position:absolute;left:0;text-align:left;margin-left:76.2pt;margin-top:73.55pt;width:435.2pt;height:38.4pt;z-index:1;mso-position-horizontal-relative:page;mso-position-vertical-relative:page" stroked="f">
            <v:textbox style="mso-next-textbox:#_x0000_s29906" inset="0,0,0,0">
              <w:txbxContent>
                <w:p w:rsidR="005D3896" w:rsidRDefault="005D3896">
                  <w:pPr>
                    <w:pStyle w:val="OCRStyle1"/>
                    <w:ind w:left="58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5D3896" w:rsidRPr="007D79F1" w:rsidRDefault="005D3896">
                  <w:pPr>
                    <w:pStyle w:val="OCRStyle1"/>
                    <w:ind w:left="347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תשי"ז-1957 *</w:t>
                  </w:r>
                </w:p>
              </w:txbxContent>
            </v:textbox>
            <w10:wrap anchorx="page" anchory="page"/>
          </v:shape>
        </w:pict>
      </w:r>
    </w:p>
    <w:p w:rsidR="005F65E1" w:rsidRDefault="005F65E1">
      <w:pPr>
        <w:rPr>
          <w:rtl/>
        </w:rPr>
      </w:pPr>
      <w:r>
        <w:rPr>
          <w:rtl/>
        </w:rPr>
        <w:br w:type="page"/>
      </w:r>
    </w:p>
    <w:p w:rsidR="005F65E1" w:rsidRDefault="00000000">
      <w:pPr>
        <w:rPr>
          <w:rtl/>
        </w:rPr>
      </w:pPr>
      <w:r>
        <w:pict>
          <v:shape id="_x0000_s29907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9907" inset="0,0,0,0">
              <w:txbxContent>
                <w:p w:rsidR="005D3896" w:rsidRDefault="005D3896">
                  <w:r>
                    <w:rPr>
                      <w:rtl/>
                    </w:rPr>
                    <w:t>97 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08" o:spid="_x0000_s1032" type="#_x0000_t202" style="position:absolute;left:0;text-align:left;margin-left:372.05pt;margin-top:752.8pt;width:192.45pt;height:48.5pt;z-index:8;mso-position-horizontal-relative:page;mso-position-vertical-relative:page" stroked="f">
            <v:textbox style="mso-next-textbox:#_x0000_s29908" inset="0,0,0,0">
              <w:txbxContent>
                <w:p w:rsidR="005D3896" w:rsidRPr="005F65E1" w:rsidRDefault="005D3896">
                  <w:pPr>
                    <w:pStyle w:val="OCRStyle2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ק"ת 648' תשי"ז' עמ' 296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09" o:spid="_x0000_s1033" type="#_x0000_t202" style="position:absolute;left:0;text-align:left;margin-left:84.55pt;margin-top:61.15pt;width:488.25pt;height:689.05pt;z-index:7;mso-position-horizontal-relative:page;mso-position-vertical-relative:page" stroked="f">
            <v:textbox style="mso-next-textbox:#_x0000_s2990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5933"/>
                    <w:gridCol w:w="1688"/>
                  </w:tblGrid>
                  <w:tr w:rsidR="005D3896" w:rsidRPr="005F65E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5D3896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תקנות</w:t>
                        </w:r>
                      </w:p>
                      <w:p w:rsidR="005D3896" w:rsidRPr="005F65E1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3א' 3ב ו-3ג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5D3896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תקנה 3 לתקנות יבואו תקנות אלה:</w:t>
                        </w:r>
                      </w:p>
                      <w:p w:rsidR="005D3896" w:rsidRPr="005F65E1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1 ו</w:t>
                        </w:r>
                      </w:p>
                    </w:tc>
                  </w:tr>
                  <w:tr w:rsidR="005D3896" w:rsidRPr="005F65E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היתר לפי תקנה 3 (ו) מותר לתתו בכפוף לכל תנאי, סייג או הגבלה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בהוראות' ובין השאר לגבי -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תקופת תקפו;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מועדי ההפלגה והמסע: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אזורי המסע;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נתיב המסע' וכן נמלי ההפלגה, הביקור והייעוד או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מקומותיהם של אלה;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סוגי ההובלה;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הנוסעים והמטענים או סוגיהם;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תנאי ההובלה ודמי ההובלה של הנוסעים או של המטענים;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השכרת כלי השיט, כולו או מקצתו, למי שפורט בהיתר,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בתנאים ובתשלום שפורטו בה</w:t>
                        </w:r>
                      </w:p>
                    </w:tc>
                    <w:tc>
                      <w:tcPr>
                        <w:tcW w:w="951" w:type="pct"/>
                      </w:tcPr>
                      <w:p w:rsidR="005D3896" w:rsidRPr="005F65E1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"סייגים שבהיתר</w:t>
                        </w:r>
                      </w:p>
                    </w:tc>
                  </w:tr>
                  <w:tr w:rsidR="005D3896" w:rsidRPr="005F65E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3ב. (א) ניתנו הוראות לפי תקנה 3 (ז) או לפי תקנה 105 (3) לתקנות-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שעת-חירום, תשי"ז-31956, רשאי שר התחבורה להורות, הן באותן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והן לאחר מכן, כי כלי השיט ייחשב לכל דבר כמושכר למי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שנאמר בהוראות האמורות ובתנאים ובתשלום שפורטו בהן, כאילו האדם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שניתנה לו ההוראה להשכיר את כלי השיט מילא אחריה במלואה,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הושכר כלי שיט לפי תקנת משנה (א) או לפי תקנה 3 (ז) או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תקנה 3א (8), חייבים בעליו ורב החובל שלו לקיים את תנאי השכירות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המוטלים על המשכיר, והפרת תנאי מתנאי השכירות, דינה כדין הפרת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לפי תקנות אלה.</w:t>
                        </w:r>
                      </w:p>
                    </w:tc>
                    <w:tc>
                      <w:tcPr>
                        <w:tcW w:w="951" w:type="pct"/>
                      </w:tcPr>
                      <w:p w:rsidR="005D3896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שכירות מכוח</w:t>
                        </w:r>
                      </w:p>
                      <w:p w:rsidR="005D3896" w:rsidRPr="005F65E1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התקנות</w:t>
                        </w:r>
                      </w:p>
                    </w:tc>
                  </w:tr>
                  <w:tr w:rsidR="005D3896" w:rsidRPr="005F65E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2" w:type="pct"/>
                      </w:tcPr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3ג. שר התחבורה, בהתייעצות עם שר הבטחון, רשאי, אם ראה צורך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בכך לשם הגנת המדינה, ליתן הוראות לאזרח או לתושב ישראל -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המחייבות למסור לשר התחבורה פרטים ותכניות על כל כלי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הנבנה או העומד להיבנות על ידיו או בשבילו, וכן על כל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שינויים הנעשים או שעומדים לעשותם בכלי שיט הרשום על שמו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השייך לו;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המחייבות לשנות את מבנהו של כלי שיט הרשום על שמו או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השייך לו, או להוסיף בו הוספות וחיזוקים בהתאם לתכניות ולמיפ-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רטים שפורטו בהוראה;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המחייבות לצייד כלי שיט כאמור בפסקאות (1) או (2) במיב-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נים, באביזרים, במיתקנים, במכשירים ובכלים שפורטו בהוראה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ולהתקינם בהתאם לפירוט שבהוראה;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האוסרות את בנייתו או את המשכת בנייתו של כלי שיט,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תוך ביצוע ההוראות שניתנו לפי תקנה זו;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האוסרות הפלגת כלי שיט אלא אם קויימו לגביו ההוראות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לפי תקנה זאת."</w:t>
                        </w:r>
                      </w:p>
                    </w:tc>
                    <w:tc>
                      <w:tcPr>
                        <w:tcW w:w="951" w:type="pct"/>
                      </w:tcPr>
                      <w:p w:rsidR="005D3896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מבנה</w:t>
                        </w:r>
                      </w:p>
                      <w:p w:rsidR="005D3896" w:rsidRPr="005F65E1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ומיתקנים</w:t>
                        </w:r>
                      </w:p>
                    </w:tc>
                  </w:tr>
                  <w:tr w:rsidR="005D3896" w:rsidRPr="005F65E1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5D3896" w:rsidRPr="005F65E1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תקנח 8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5D3896" w:rsidRDefault="005D389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בתקנה 8 לתקנות, בתקנת משנה (א), במקום "אלף לירות" יבוא "עשרים אלף לירות",</w:t>
                        </w:r>
                      </w:p>
                      <w:p w:rsidR="005D3896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ובסוף יווסף: "ובית המשפט רשאי לצוות על חילוט כלי השיט שבו נעברה העבירה; בית</w:t>
                        </w:r>
                      </w:p>
                      <w:p w:rsidR="005D3896" w:rsidRPr="005F65E1" w:rsidRDefault="005D389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המחוזי ישפוט בעבירות לפי תקנות אלה".</w:t>
                        </w:r>
                      </w:p>
                    </w:tc>
                  </w:tr>
                </w:tbl>
                <w:p w:rsidR="005D3896" w:rsidRDefault="005D389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60872" w:rsidRDefault="00960872">
      <w:pPr>
        <w:rPr>
          <w:rtl/>
        </w:rPr>
      </w:pPr>
      <w:r>
        <w:rPr>
          <w:rtl/>
        </w:rPr>
        <w:br w:type="page"/>
      </w:r>
    </w:p>
    <w:p w:rsidR="00960872" w:rsidRDefault="00000000">
      <w:pPr>
        <w:rPr>
          <w:rtl/>
        </w:rPr>
      </w:pPr>
      <w:r>
        <w:pict>
          <v:shape id="_x0000_s29910" o:spid="_x0000_s1034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9910" inset="0,0,0,0">
              <w:txbxContent>
                <w:p w:rsidR="005D3896" w:rsidRDefault="005D3896">
                  <w:r>
                    <w:rPr>
                      <w:rtl/>
                    </w:rPr>
                    <w:t>98 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11" o:spid="_x0000_s1035" type="#_x0000_t202" style="position:absolute;left:0;text-align:left;margin-left:61.85pt;margin-top:738.1pt;width:410.65pt;height:67.7pt;z-index:11;mso-position-horizontal-relative:page;mso-position-vertical-relative:page" stroked="f">
            <v:textbox style="mso-next-textbox:#_x0000_s29911" inset="0,0,0,0">
              <w:txbxContent>
                <w:p w:rsidR="005D3896" w:rsidRDefault="005D3896">
                  <w:pPr>
                    <w:pStyle w:val="OCRStyle3"/>
                    <w:ind w:left="1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188, תשט"ו, עמ' 134</w:t>
                  </w:r>
                </w:p>
                <w:p w:rsidR="005D3896" w:rsidRPr="00960872" w:rsidRDefault="005D3896">
                  <w:pPr>
                    <w:pStyle w:val="OCRStyle3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1940' תוס' 1 ס'מ 1019'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12" o:spid="_x0000_s1036" type="#_x0000_t202" style="position:absolute;left:0;text-align:left;margin-left:72.95pt;margin-top:54.2pt;width:501.35pt;height:682.9pt;z-index:10;mso-position-horizontal-relative:page;mso-position-vertical-relative:page" stroked="f">
            <v:textbox style="mso-next-textbox:#_x0000_s29912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49"/>
                    <w:gridCol w:w="1633"/>
                    <w:gridCol w:w="1433"/>
                  </w:tblGrid>
                  <w:tr w:rsidR="005D3896" w:rsidRPr="00960872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לתקנות יבואו תקנות אלה: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אחרי תקנה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תקנות 9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עד 16</w:t>
                        </w:r>
                      </w:p>
                    </w:tc>
                  </w:tr>
                  <w:tr w:rsidR="005D3896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הוראות על פי תקנות אלה המטילות במפורש איסורים, הגבלות או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חיובים או המרשות כמפורש עשייתו של דבר, יקויימו הן כישראל והן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בחוץ-לארץ, אם אין כוונה אחרת משתמעת מגוף ההוראות, ובתי המשפט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מוסמכים לשפוט עבירה לפי תקנה 8 שבוצעה בחוץ לארץ.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D3896" w:rsidRPr="00960872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896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(א) הוראה שפורסמה ברשומות - תחילתה ממועד הפרסום, אם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נקבע בה מועד אחר,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הוראה שפורסמה בעתון יומי - תחילתה ביום הנקוב על גבי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העתון כיום צאת העתון, אם לא נקבע בה מועד אחר לתחילתה.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הוראה שלא פורסמה לא ברשומות ולא בעתון יומי - תחילתה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כתום שתים עשרה שעות מיום פרסומה ברבים בכל דרך אחרת שהיא,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 נקבע בה מועד אחר.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הוראה שלא פורסמה ברבים - תחילתה ביום מסירתה לנוגע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בדבר, אם לא נקבע בה מועד מאוחר יותר: הוראה שנשלחה בדואר רשום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מען מקום מגוריו הרגיל או מקום מגוריו האחרון או מקום עסקיו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הרגיל או מקום עסקיו האחרון של הנוגע בדבר, רואים אותה כאילו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כתום 48 שעות משעה שנמסרה לדואר למשלוח.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D3896" w:rsidRPr="00960872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הוראות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896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הטוען שיש בידו היתר, פטור או הקלה אחרת לפי תקנות אלה -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הראיה, והוא חייב להציגם לפי דרישת שוטר או מי שהוסמך לכך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שר התחבורה.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הצגת היתר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וחובת ההוכחה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כהיתר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896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הוראה לפי תקנות אלה לא תיפסל בגלל פגם בנוסח כלבד, וטעות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בנקיבת שם של כלי שיט, של בעליו או של רב החובל שלו לא תפגע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בחוקיותה של הוראה כאמור.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טעות או פגם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בהוראה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896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הוראה לפי תקנות אלה יכולה להיות כללית או מסוייגת או לכלי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שיט מסויים או לבעליו או לרב החובל שלו.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D3896" w:rsidRPr="00960872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סוגי הוראות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896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9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896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שר התחבורה רשאי לתת הוראות משלימות בכל ענין הדרוש לשם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תקנות אלה' לרבות הוראות בדבר הודעות, הזמנות, טפסים, מתן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פטור, היתר, אישור, תעודה, חידושם של אלה, התלייתם וביטולם והאג-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שישתלמו בעדם.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D3896" w:rsidRPr="00960872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משלימות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896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ניתנה הוראה לפי תקנות אלה לאדם פלוני או למספר בני אדם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שפורשו אחד אחד בהוראה, פרט לקביעת דמי שכירות בנסיבות המפורטות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כתקנה 16, רשאי כל הרואה עצמו נפגע על ידי ההוראה לערור עליה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חמישה עשר יום מהיום שההוראה הגיעה לידיעתו לפני ועדת עררים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שהוקמה על פי חוק לקיום תקפן של תקנות ההגנה (הוראות שעה) (מס' 9),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תשט"ו-41955, והוראות אותו חוק יחולו על תקנות אלה כאילו היו תקנות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שמדובר בהן בסעיף 1 של החוק האמור.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D3896" w:rsidRPr="00960872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עררים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D3896">
                    <w:trPr>
                      <w:jc w:val="right"/>
                    </w:trPr>
                    <w:tc>
                      <w:tcPr>
                        <w:tcW w:w="3318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חייב שר התחבורה, בהוראה לפי תקנה 3 (ז), אדם פלוני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להשכיר כלי שיט וקבע את דמי השכירות מכוח התקנה האמורה, רשאי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מי שרואה את עצמו נפגע על ידי קביעת דמי השכירות כאמור לערור</w:t>
                        </w:r>
                      </w:p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קביעה זו לפני בית דין לעניני אניות שלפי סעיף 10 לפקודת הפיצויים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(הגנה), 51940, ובית הדין האמור רשאי לאשר את הקביעה או לשנותה.</w:t>
                        </w:r>
                      </w:p>
                    </w:tc>
                    <w:tc>
                      <w:tcPr>
                        <w:tcW w:w="896" w:type="pct"/>
                      </w:tcPr>
                      <w:p w:rsidR="005D3896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 על קביעת</w:t>
                        </w:r>
                      </w:p>
                      <w:p w:rsidR="005D3896" w:rsidRPr="00960872" w:rsidRDefault="005D389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דמי שכירות</w:t>
                        </w:r>
                      </w:p>
                    </w:tc>
                    <w:tc>
                      <w:tcPr>
                        <w:tcW w:w="786" w:type="pct"/>
                      </w:tcPr>
                      <w:p w:rsidR="005D3896" w:rsidRDefault="005D389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5D3896" w:rsidRDefault="005D389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D3896" w:rsidRDefault="005D3896">
      <w:pPr>
        <w:rPr>
          <w:rtl/>
        </w:rPr>
      </w:pPr>
      <w:r>
        <w:rPr>
          <w:rtl/>
        </w:rPr>
        <w:br w:type="page"/>
      </w:r>
    </w:p>
    <w:p w:rsidR="005D3896" w:rsidRDefault="00000000">
      <w:pPr>
        <w:rPr>
          <w:rtl/>
        </w:rPr>
      </w:pPr>
      <w:r>
        <w:pict>
          <v:shape id="_x0000_s29913" o:spid="_x0000_s1037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29913" inset="0,0,0,0">
              <w:txbxContent>
                <w:p w:rsidR="005D3896" w:rsidRDefault="005D3896">
                  <w:r>
                    <w:rPr>
                      <w:rtl/>
                    </w:rPr>
                    <w:t>99                                           ספר החוקים 226                  י"ח בניסן התשי"ז 19.04.1957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14" o:spid="_x0000_s1038" type="#_x0000_t202" style="position:absolute;left:0;text-align:left;margin-left:401.85pt;margin-top:394.75pt;width:158.6pt;height:19.2pt;z-index:17;mso-position-horizontal-relative:page;mso-position-vertical-relative:page" stroked="f">
            <v:textbox style="mso-next-textbox:#_x0000_s29914" inset="0,0,0,0">
              <w:txbxContent>
                <w:p w:rsidR="005D3896" w:rsidRPr="005D3896" w:rsidRDefault="005D3896">
                  <w:pPr>
                    <w:pStyle w:val="OCRStyle4"/>
                    <w:ind w:left="583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דיני ישראל 1, תשי"ד,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15" o:spid="_x0000_s1039" type="#_x0000_t202" style="position:absolute;left:0;text-align:left;margin-left:290pt;margin-top:325.1pt;width:113.65pt;height:30.3pt;z-index:16;mso-position-horizontal-relative:page;mso-position-vertical-relative:page" stroked="f">
            <v:textbox style="mso-next-textbox:#_x0000_s29915" inset="0,0,0,0">
              <w:txbxContent>
                <w:p w:rsidR="005D3896" w:rsidRDefault="005D3896">
                  <w:pPr>
                    <w:pStyle w:val="OCRStyle4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D3896" w:rsidRDefault="005D3896">
                  <w:pPr>
                    <w:pStyle w:val="OCRStyle4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16" o:spid="_x0000_s1040" type="#_x0000_t202" style="position:absolute;left:0;text-align:left;margin-left:447.6pt;margin-top:354.6pt;width:113.65pt;height:32.85pt;z-index:15;mso-position-horizontal-relative:page;mso-position-vertical-relative:page" stroked="f">
            <v:textbox style="mso-next-textbox:#_x0000_s29916" inset="0,0,0,0">
              <w:txbxContent>
                <w:p w:rsidR="005D3896" w:rsidRDefault="005D3896">
                  <w:pPr>
                    <w:pStyle w:val="OCRStyle4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D3896" w:rsidRDefault="005D3896">
                  <w:pPr>
                    <w:pStyle w:val="OCRStyle4"/>
                    <w:ind w:left="47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17" o:spid="_x0000_s1041" type="#_x0000_t202" style="position:absolute;left:0;text-align:left;margin-left:172.55pt;margin-top:324.3pt;width:85.35pt;height:28.3pt;z-index:14;mso-position-horizontal-relative:page;mso-position-vertical-relative:page" stroked="f">
            <v:textbox style="mso-next-textbox:#_x0000_s29917" inset="0,0,0,0">
              <w:txbxContent>
                <w:p w:rsidR="005D3896" w:rsidRDefault="005D3896">
                  <w:pPr>
                    <w:pStyle w:val="OCRStyle4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משה כרמל</w:t>
                  </w:r>
                </w:p>
                <w:p w:rsidR="005D3896" w:rsidRDefault="005D3896">
                  <w:pPr>
                    <w:pStyle w:val="OCRStyle4"/>
                    <w:ind w:left="212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18" o:spid="_x0000_s1042" type="#_x0000_t202" style="position:absolute;left:0;text-align:left;margin-left:83.65pt;margin-top:59.35pt;width:482.35pt;height:254.85pt;z-index:13;mso-position-horizontal-relative:page;mso-position-vertical-relative:page" stroked="f">
            <v:textbox style="mso-next-textbox:#_x0000_s29918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7618"/>
                  </w:tblGrid>
                  <w:tr w:rsidR="005D3896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43" w:type="pct"/>
                      </w:tcPr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בערר על קביעת דמי שכירות כאמור ינהג בית הדין לפי הכללים</w:t>
                        </w:r>
                      </w:p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שבפסקה (א) לסעיף 6(1) וכן בפסקה (1) של התנאי המגביל לסעיף</w:t>
                        </w:r>
                      </w:p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(1) לפקודת הפיצויים (הגנה), 4940 כאילו כלי השיט נתפס מכוח סמכויות</w:t>
                        </w:r>
                      </w:p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שעת-חירום, כמשמעותם בפקודה האמורה וכאילו דמי השכירות המש-</w:t>
                        </w:r>
                      </w:p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תלמים על ידי השוכר הם הפיצויים לפי הפקודה האמורה' הכל בשינויים</w:t>
                        </w:r>
                      </w:p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לפי הענין.</w:t>
                        </w:r>
                      </w:p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הסעיפים 11' 11א, 12, 15 ,16, 17 ו-18 לפקודת הפיצויים</w:t>
                        </w:r>
                      </w:p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(הגנה), 1940, יחולו על ערר לפי תקנת משנה (א), בשינויים המחוייבים</w:t>
                        </w:r>
                      </w:p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הענין."</w:t>
                        </w:r>
                      </w:p>
                    </w:tc>
                  </w:tr>
                  <w:tr w:rsidR="005D3896" w:rsidRPr="005D3896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5D3896" w:rsidRPr="005D3896" w:rsidRDefault="005D389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פרשנות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5D3896" w:rsidRDefault="005D389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הסעיפים 14 ו-15 לפקודת הפרשנות 6, יחולו על התקנות כפי שהן מתוקנות על ידי</w:t>
                        </w:r>
                      </w:p>
                      <w:p w:rsid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תקנות-שעת-חירום אלה, כאילו ביטלו את התקנות שבפרק הרביעי לתקנות-שעת-חירום/</w:t>
                        </w:r>
                      </w:p>
                      <w:p w:rsidR="005D3896" w:rsidRP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תשי"ז-1956, ובאו במקומן.</w:t>
                        </w:r>
                      </w:p>
                    </w:tc>
                  </w:tr>
                  <w:tr w:rsidR="005D3896" w:rsidRPr="005D3896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5D3896" w:rsidRPr="005D3896" w:rsidRDefault="005D389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5D3896" w:rsidRP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תחילתן של תקנות אלה היא ביום כ"ו בשבט תשי"ז (28 בינואר 1957).</w:t>
                        </w:r>
                      </w:p>
                    </w:tc>
                  </w:tr>
                  <w:tr w:rsidR="005D3896" w:rsidRPr="005D3896">
                    <w:trPr>
                      <w:jc w:val="right"/>
                    </w:trPr>
                    <w:tc>
                      <w:tcPr>
                        <w:tcW w:w="657" w:type="pct"/>
                      </w:tcPr>
                      <w:p w:rsidR="005D3896" w:rsidRPr="005D3896" w:rsidRDefault="005D3896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343" w:type="pct"/>
                      </w:tcPr>
                      <w:p w:rsidR="005D3896" w:rsidRPr="005D3896" w:rsidRDefault="005D3896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לתקנות אלה ייקרא "תקנות-שעת-חירום (פיקוח על אניות) (תיקון), תשי"ז-1957'/</w:t>
                        </w:r>
                      </w:p>
                    </w:tc>
                  </w:tr>
                </w:tbl>
                <w:p w:rsidR="005D3896" w:rsidRDefault="005D389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D79F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A984F1A-F91C-47A4-B280-B1E1B4E3A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D79F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F65E1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60872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5D389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2008-04-06T19:06:00Z</dcterms:created>
  <dcterms:modified xsi:type="dcterms:W3CDTF">2008-04-06T19:06:00Z</dcterms:modified>
</cp:coreProperties>
</file>