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D03D5" w:rsidRDefault="00ED03D5">
      <w:pPr>
        <w:rPr>
          <w:rtl/>
        </w:rPr>
      </w:pPr>
    </w:p>
    <w:p w:rsidR="00ED03D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91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9919" inset="0,0,0,0">
              <w:txbxContent>
                <w:p w:rsidR="004B58AB" w:rsidRDefault="004B58AB">
                  <w:r>
                    <w:rPr>
                      <w:rtl/>
                    </w:rPr>
                    <w:t>88                                          ספר החוקים 1046                   כ"ט באדר התשמ"ב 24.03.1982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29920" o:spid="_x0000_s1026" type="#_x0000_t202" style="position:absolute;left:0;text-align:left;margin-left:88.25pt;margin-top:643.7pt;width:402.75pt;height:94.85pt;z-index:3;mso-wrap-style:none;mso-position-horizontal-relative:page;mso-position-vertical-relative:page" stroked="f">
            <v:textbox style="mso-next-textbox:#_x0000_s29920" inset="0,0,0,0">
              <w:txbxContent>
                <w:p w:rsidR="004B58AB" w:rsidRDefault="004B58AB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 באדר התקומ"ב (15 במרס 1982); הצעת החוק ודברי הסבר פורסמו בה"ח 1560, התשמ"ב,</w:t>
                  </w:r>
                </w:p>
                <w:p w:rsidR="004B58AB" w:rsidRDefault="004B58AB">
                  <w:pPr>
                    <w:pStyle w:val="OCRStyle1"/>
                    <w:ind w:left="34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56.</w:t>
                  </w:r>
                </w:p>
                <w:p w:rsidR="004B58AB" w:rsidRDefault="004B58AB">
                  <w:pPr>
                    <w:pStyle w:val="OCRStyle1"/>
                    <w:ind w:left="16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ק"ת התשי"ז, עמ' 3139; התשמ"א, עמ' 122.</w:t>
                  </w:r>
                </w:p>
                <w:p w:rsidR="004B58AB" w:rsidRDefault="004B58AB">
                  <w:pPr>
                    <w:pStyle w:val="OCRStyle1"/>
                    <w:ind w:left="17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התשל"ז, עמ' .238</w:t>
                  </w:r>
                </w:p>
                <w:p w:rsidR="004B58AB" w:rsidRDefault="004B58AB">
                  <w:pPr>
                    <w:pStyle w:val="OCRStyle1"/>
                    <w:ind w:left="14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דיני מדינת ישראל, נוסת חדקו 7, עמ' .173</w:t>
                  </w:r>
                </w:p>
                <w:p w:rsidR="004B58AB" w:rsidRDefault="004B58AB">
                  <w:pPr>
                    <w:pStyle w:val="OCRStyle1"/>
                    <w:ind w:left="15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 xml:space="preserve">4 ס"ח התשי"ז, עמ' 145. </w:t>
                  </w:r>
                </w:p>
                <w:p w:rsidR="004B58AB" w:rsidRPr="00ED03D5" w:rsidRDefault="004B58AB">
                  <w:pPr>
                    <w:pStyle w:val="OCRStyle1"/>
                    <w:ind w:left="405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סטר החוקים 1046, כ''ט באדר התשמ"ב, 24.3.1962</w:t>
                  </w:r>
                </w:p>
              </w:txbxContent>
            </v:textbox>
            <w10:wrap anchorx="page" anchory="page"/>
          </v:shape>
        </w:pict>
      </w:r>
      <w:r>
        <w:pict>
          <v:shape id="_x0000_s29921" o:spid="_x0000_s1027" type="#_x0000_t202" style="position:absolute;left:0;text-align:left;margin-left:84.3pt;margin-top:106.75pt;width:469.25pt;height:533.6pt;z-index:2;mso-wrap-style:none;mso-position-horizontal-relative:page;mso-position-vertical-relative:page" stroked="f">
            <v:textbox style="mso-next-textbox:#_x0000_s29921" inset="0,0,0,0">
              <w:txbxContent>
                <w:tbl>
                  <w:tblPr>
                    <w:tblW w:w="500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40"/>
                    <w:gridCol w:w="1256"/>
                    <w:gridCol w:w="1237"/>
                  </w:tblGrid>
                  <w:tr w:rsidR="004B58AB" w:rsidRPr="00ED03D5">
                    <w:trPr>
                      <w:jc w:val="right"/>
                    </w:trPr>
                    <w:tc>
                      <w:tcPr>
                        <w:tcW w:w="4275" w:type="pct"/>
                        <w:gridSpan w:val="2"/>
                      </w:tcPr>
                      <w:p w:rsidR="004B58AB" w:rsidRDefault="004B58AB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בתקנה 1 לתקנות-שעת-חירום (רישום ציוד וגיוסו), התשי"ז-11956 (להלן -</w:t>
                        </w:r>
                      </w:p>
                      <w:p w:rsidR="004B58AB" w:rsidRDefault="004B58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התקנות), בהגדרת "מפקד מוסמך". במקום פסקה (1) יבוא:</w:t>
                        </w:r>
                      </w:p>
                      <w:p w:rsidR="004B58AB" w:rsidRDefault="004B58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חייל - אלא אם הוא לפחות בדרגת סרן וניתן לו מינוי לתפקיד</w:t>
                        </w:r>
                      </w:p>
                      <w:p w:rsidR="004B58AB" w:rsidRPr="00ED03D5" w:rsidRDefault="004B58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שנקבעה לו לפחות דרגת רב-סרן ;"</w:t>
                        </w:r>
                      </w:p>
                    </w:tc>
                    <w:tc>
                      <w:tcPr>
                        <w:tcW w:w="725" w:type="pct"/>
                      </w:tcPr>
                      <w:p w:rsidR="004B58AB" w:rsidRPr="00ED03D5" w:rsidRDefault="004B58A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תקנה 1</w:t>
                        </w:r>
                      </w:p>
                    </w:tc>
                  </w:tr>
                  <w:tr w:rsidR="004B58AB" w:rsidRPr="00ED03D5">
                    <w:trPr>
                      <w:jc w:val="right"/>
                    </w:trPr>
                    <w:tc>
                      <w:tcPr>
                        <w:tcW w:w="4275" w:type="pct"/>
                        <w:gridSpan w:val="2"/>
                      </w:tcPr>
                      <w:p w:rsidR="004B58AB" w:rsidRDefault="004B58A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בתקנה 3 לתקנות, בתקנות משנה (ד) (3) ו- (4) במקום "חודש ימים" יבוא "עשרים</w:t>
                        </w:r>
                      </w:p>
                      <w:p w:rsidR="004B58AB" w:rsidRPr="00ED03D5" w:rsidRDefault="004B58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ואחד ימים".</w:t>
                        </w:r>
                      </w:p>
                    </w:tc>
                    <w:tc>
                      <w:tcPr>
                        <w:tcW w:w="725" w:type="pct"/>
                      </w:tcPr>
                      <w:p w:rsidR="004B58AB" w:rsidRPr="00ED03D5" w:rsidRDefault="004B58A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תקנה 3</w:t>
                        </w:r>
                      </w:p>
                    </w:tc>
                  </w:tr>
                  <w:tr w:rsidR="004B58AB" w:rsidRPr="00ED03D5">
                    <w:trPr>
                      <w:jc w:val="right"/>
                    </w:trPr>
                    <w:tc>
                      <w:tcPr>
                        <w:tcW w:w="4275" w:type="pct"/>
                        <w:gridSpan w:val="2"/>
                      </w:tcPr>
                      <w:p w:rsidR="004B58AB" w:rsidRDefault="004B58A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בתקנה 12 לתקנות, בסוף תקנת משנה (ו) יבוא:</w:t>
                        </w:r>
                      </w:p>
                      <w:p w:rsidR="004B58AB" w:rsidRDefault="004B58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אם נמסר לראש שבט או פלג, רואים אותו כאילו הגיע לידיעת</w:t>
                        </w:r>
                      </w:p>
                      <w:p w:rsidR="004B58AB" w:rsidRDefault="004B58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האדם שעליו הוא חל, והמשתייר לאותו שבט או פלג, בתום 48 שעות מזמן</w:t>
                        </w:r>
                      </w:p>
                      <w:p w:rsidR="004B58AB" w:rsidRPr="00ED03D5" w:rsidRDefault="004B58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המסירה."</w:t>
                        </w:r>
                      </w:p>
                    </w:tc>
                    <w:tc>
                      <w:tcPr>
                        <w:tcW w:w="725" w:type="pct"/>
                      </w:tcPr>
                      <w:p w:rsidR="004B58AB" w:rsidRPr="00ED03D5" w:rsidRDefault="004B58A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תקנה 12</w:t>
                        </w:r>
                      </w:p>
                    </w:tc>
                  </w:tr>
                  <w:tr w:rsidR="004B58AB" w:rsidRPr="00ED03D5">
                    <w:trPr>
                      <w:jc w:val="right"/>
                    </w:trPr>
                    <w:tc>
                      <w:tcPr>
                        <w:tcW w:w="4275" w:type="pct"/>
                        <w:gridSpan w:val="2"/>
                      </w:tcPr>
                      <w:p w:rsidR="004B58AB" w:rsidRDefault="004B58A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בתקנה 13 לתקנות -</w:t>
                        </w:r>
                      </w:p>
                      <w:p w:rsidR="004B58AB" w:rsidRDefault="004B58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בתקנת משנה (א), במקום "קנס 10,000 לירות" יבוא "קנס כאמור</w:t>
                        </w:r>
                      </w:p>
                      <w:p w:rsidR="004B58AB" w:rsidRDefault="004B58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61(א) (3) לחוק העונשין, התשל"ז-21977";</w:t>
                        </w:r>
                      </w:p>
                      <w:p w:rsidR="004B58AB" w:rsidRDefault="004B58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בתקנת משנה (ב), במקום "לקנס שלושים אלף לירות" יבוא "לקנס</w:t>
                        </w:r>
                      </w:p>
                      <w:p w:rsidR="004B58AB" w:rsidRPr="00ED03D5" w:rsidRDefault="004B58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61(א)(3) לחוק העונשין, התשל"ז-1977".</w:t>
                        </w:r>
                      </w:p>
                    </w:tc>
                    <w:tc>
                      <w:tcPr>
                        <w:tcW w:w="725" w:type="pct"/>
                      </w:tcPr>
                      <w:p w:rsidR="004B58AB" w:rsidRPr="00ED03D5" w:rsidRDefault="004B58A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תקנה 13</w:t>
                        </w:r>
                      </w:p>
                    </w:tc>
                  </w:tr>
                  <w:tr w:rsidR="004B58AB" w:rsidRPr="00ED03D5">
                    <w:trPr>
                      <w:jc w:val="right"/>
                    </w:trPr>
                    <w:tc>
                      <w:tcPr>
                        <w:tcW w:w="4275" w:type="pct"/>
                        <w:gridSpan w:val="2"/>
                      </w:tcPr>
                      <w:p w:rsidR="004B58AB" w:rsidRPr="00ED03D5" w:rsidRDefault="004B58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אחרי תקנה 12 לתקנות יבוא -</w:t>
                        </w:r>
                      </w:p>
                    </w:tc>
                    <w:tc>
                      <w:tcPr>
                        <w:tcW w:w="725" w:type="pct"/>
                      </w:tcPr>
                      <w:p w:rsidR="004B58AB" w:rsidRPr="00ED03D5" w:rsidRDefault="004B58A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תקנה 12א</w:t>
                        </w:r>
                      </w:p>
                    </w:tc>
                  </w:tr>
                  <w:tr w:rsidR="004B58AB">
                    <w:trPr>
                      <w:jc w:val="right"/>
                    </w:trPr>
                    <w:tc>
                      <w:tcPr>
                        <w:tcW w:w="3539" w:type="pct"/>
                      </w:tcPr>
                      <w:p w:rsidR="004B58AB" w:rsidRDefault="004B58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12א. (א) לא מילא בעל ציוד ביודעין חובה מן החובות המוטלות עליו</w:t>
                        </w:r>
                      </w:p>
                      <w:p w:rsidR="004B58AB" w:rsidRDefault="004B58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מכוח תקנות אלה, רשאים ראש אגף אפסנאות במטה הכללי או מפקד</w:t>
                        </w:r>
                      </w:p>
                      <w:p w:rsidR="004B58AB" w:rsidRDefault="004B58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היחידה לארגון וגיוס אמצעים בצבא -הגנה לישראל להורות בצו -</w:t>
                        </w:r>
                      </w:p>
                      <w:p w:rsidR="004B58AB" w:rsidRDefault="004B58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לרשות הרישוי כמשמעותה בפקודת התעבורה3, להימנע</w:t>
                        </w:r>
                      </w:p>
                      <w:p w:rsidR="004B58AB" w:rsidRDefault="004B58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מלהוציא או מלחדש רשיון רכב לאותו ציוד ;</w:t>
                        </w:r>
                      </w:p>
                      <w:p w:rsidR="004B58AB" w:rsidRDefault="004B58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להשם כמשמעותו בחוק רישום ציוד הנדסי, התשי"ז-</w:t>
                        </w:r>
                      </w:p>
                      <w:p w:rsidR="004B58AB" w:rsidRDefault="004B58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41957, להימנע מלרשום אותו ציוד.</w:t>
                        </w:r>
                      </w:p>
                      <w:p w:rsidR="004B58AB" w:rsidRDefault="004B58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צו כאמור בסעיף קטן (א) טעון אישור שופט של בית משפט</w:t>
                        </w:r>
                      </w:p>
                      <w:p w:rsidR="004B58AB" w:rsidRDefault="004B58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השלום; השופט רשאי לאשר את הצו שלא במעמד בעל הציוד שעליו</w:t>
                        </w:r>
                      </w:p>
                      <w:p w:rsidR="004B58AB" w:rsidRDefault="004B58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 הצו ובמקרה זה תימסר הודעה על מתן האישור לבעל הציוד.</w:t>
                        </w:r>
                      </w:p>
                      <w:p w:rsidR="004B58AB" w:rsidRDefault="004B58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אושר צו שלא במעמד בעל הציוד, רשאי הוא לפנות לשופט</w:t>
                        </w:r>
                      </w:p>
                      <w:p w:rsidR="004B58AB" w:rsidRDefault="004B58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בית משפט תשלום תוך ארבעת עשר ימים מיום מסירת ההודעה על</w:t>
                        </w:r>
                      </w:p>
                      <w:p w:rsidR="004B58AB" w:rsidRDefault="004B58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האישור, בבקשה לביטול האישור.</w:t>
                        </w:r>
                      </w:p>
                    </w:tc>
                    <w:tc>
                      <w:tcPr>
                        <w:tcW w:w="736" w:type="pct"/>
                      </w:tcPr>
                      <w:p w:rsidR="004B58AB" w:rsidRDefault="004B58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"סמכויות</w:t>
                        </w:r>
                      </w:p>
                      <w:p w:rsidR="004B58AB" w:rsidRDefault="004B58A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מיוחדות לגבי</w:t>
                        </w:r>
                      </w:p>
                      <w:p w:rsidR="004B58AB" w:rsidRPr="00ED03D5" w:rsidRDefault="004B58A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רשיונות ציוד</w:t>
                        </w:r>
                      </w:p>
                    </w:tc>
                    <w:tc>
                      <w:tcPr>
                        <w:tcW w:w="725" w:type="pct"/>
                      </w:tcPr>
                      <w:p w:rsidR="004B58AB" w:rsidRDefault="004B58A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4B58AB" w:rsidRDefault="004B58A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922" o:spid="_x0000_s1028" type="#_x0000_t202" style="position:absolute;left:0;text-align:left;margin-left:117.95pt;margin-top:77.05pt;width:353.25pt;height:24.55pt;z-index:1;mso-wrap-style:none;mso-position-horizontal-relative:page;mso-position-vertical-relative:page" stroked="f">
            <v:textbox style="mso-next-textbox:#_x0000_s29922" inset="0,0,0,0">
              <w:txbxContent>
                <w:p w:rsidR="004B58AB" w:rsidRPr="00ED03D5" w:rsidRDefault="004B58AB">
                  <w:pPr>
                    <w:pStyle w:val="OCRStyle1"/>
                    <w:ind w:left="248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לתיקון תקנות -שעת -חירום (רישום ציוד וגיוסו), התשמ"ב-1982 *</w:t>
                  </w:r>
                </w:p>
              </w:txbxContent>
            </v:textbox>
            <w10:wrap anchorx="page" anchory="page"/>
          </v:shape>
        </w:pict>
      </w:r>
    </w:p>
    <w:p w:rsidR="004B58AB" w:rsidRDefault="004B58AB">
      <w:pPr>
        <w:rPr>
          <w:rtl/>
        </w:rPr>
      </w:pPr>
      <w:r>
        <w:rPr>
          <w:rtl/>
        </w:rPr>
        <w:br w:type="page"/>
      </w:r>
    </w:p>
    <w:p w:rsidR="004B58AB" w:rsidRDefault="00000000">
      <w:pPr>
        <w:rPr>
          <w:rtl/>
        </w:rPr>
      </w:pPr>
      <w:r>
        <w:pict>
          <v:shape id="_x0000_s29923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29923" inset="0,0,0,0">
              <w:txbxContent>
                <w:p w:rsidR="004B58AB" w:rsidRDefault="004B58AB">
                  <w:r>
                    <w:rPr>
                      <w:rtl/>
                    </w:rPr>
                    <w:t>89                                          ספר החוקים 1046                   כ"ט באדר התשמ"ב 24.03.1982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29924" o:spid="_x0000_s1030" type="#_x0000_t202" style="position:absolute;left:0;text-align:left;margin-left:181.15pt;margin-top:249.4pt;width:102.15pt;height:56.25pt;z-index:8;mso-wrap-style:none;mso-position-horizontal-relative:page;mso-position-vertical-relative:page" stroked="f">
            <v:textbox style="mso-next-textbox:#_x0000_s29924" inset="0,0,0,0">
              <w:txbxContent>
                <w:p w:rsidR="004B58AB" w:rsidRDefault="004B58AB">
                  <w:pPr>
                    <w:pStyle w:val="OCRStyle2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אריאל שרון</w:t>
                  </w:r>
                </w:p>
                <w:p w:rsidR="004B58AB" w:rsidRDefault="004B58AB">
                  <w:pPr>
                    <w:pStyle w:val="OCRStyle2"/>
                    <w:ind w:left="511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9925" o:spid="_x0000_s1031" type="#_x0000_t202" style="position:absolute;left:0;text-align:left;margin-left:326.25pt;margin-top:251pt;width:94.05pt;height:46.35pt;z-index:7;mso-wrap-style:none;mso-position-horizontal-relative:page;mso-position-vertical-relative:page" stroked="f">
            <v:textbox style="mso-next-textbox:#_x0000_s29925" inset="0,0,0,0">
              <w:txbxContent>
                <w:p w:rsidR="004B58AB" w:rsidRDefault="004B58AB">
                  <w:pPr>
                    <w:pStyle w:val="OCRStyle2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4B58AB" w:rsidRDefault="004B58AB">
                  <w:pPr>
                    <w:pStyle w:val="OCRStyle2"/>
                    <w:ind w:left="31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926" o:spid="_x0000_s1032" type="#_x0000_t202" style="position:absolute;left:0;text-align:left;margin-left:469.8pt;margin-top:285.85pt;width:83.35pt;height:35.45pt;z-index:6;mso-wrap-style:none;mso-position-horizontal-relative:page;mso-position-vertical-relative:page" stroked="f">
            <v:textbox style="mso-next-textbox:#_x0000_s29926" inset="0,0,0,0">
              <w:txbxContent>
                <w:p w:rsidR="004B58AB" w:rsidRDefault="004B58AB">
                  <w:pPr>
                    <w:pStyle w:val="OCRStyle2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4B58AB" w:rsidRDefault="004B58AB">
                  <w:pPr>
                    <w:pStyle w:val="OCRStyle2"/>
                    <w:ind w:left="23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927" o:spid="_x0000_s1033" type="#_x0000_t202" style="position:absolute;left:0;text-align:left;margin-left:153pt;margin-top:59.75pt;width:339.15pt;height:155.85pt;z-index:5;mso-wrap-style:none;mso-position-horizontal-relative:page;mso-position-vertical-relative:page" stroked="f">
            <v:textbox style="mso-next-textbox:#_x0000_s29927" inset="0,0,0,0">
              <w:txbxContent>
                <w:p w:rsidR="004B58AB" w:rsidRDefault="004B58AB">
                  <w:pPr>
                    <w:pStyle w:val="OCRStyle2"/>
                    <w:ind w:left="882"/>
                    <w:rPr>
                      <w:rtl/>
                    </w:rPr>
                  </w:pPr>
                  <w:r>
                    <w:rPr>
                      <w:rtl/>
                    </w:rPr>
                    <w:t>(ד) אושר הצו במעמד בעל הציוד, ייכנס הצו לתקפו מיד או החל</w:t>
                  </w:r>
                </w:p>
                <w:p w:rsidR="004B58AB" w:rsidRDefault="004B58AB">
                  <w:pPr>
                    <w:pStyle w:val="OCRStyle2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ביום שקבע השופט; אושר הצו שלא במעמד בעל הציוד, ייכנס הצו</w:t>
                  </w:r>
                </w:p>
                <w:p w:rsidR="004B58AB" w:rsidRDefault="004B58AB">
                  <w:pPr>
                    <w:pStyle w:val="OCRStyle2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לתקפו כעבור ארבעה עשר ימים מיום מסירת ההודעה לפי תקנת משנה</w:t>
                  </w:r>
                </w:p>
                <w:p w:rsidR="004B58AB" w:rsidRDefault="004B58AB">
                  <w:pPr>
                    <w:pStyle w:val="OCRStyle2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(ב) ואם הוגשה בקשה לביטול האישור - כפי שהכריע השופט בבקשה.</w:t>
                  </w:r>
                </w:p>
                <w:p w:rsidR="004B58AB" w:rsidRDefault="004B58AB">
                  <w:pPr>
                    <w:pStyle w:val="OCRStyle2"/>
                    <w:ind w:left="889"/>
                    <w:rPr>
                      <w:rtl/>
                    </w:rPr>
                  </w:pPr>
                  <w:r>
                    <w:rPr>
                      <w:rtl/>
                    </w:rPr>
                    <w:t>(ה) מולאה החובה שבשל אי מילויה הוצא הצו - יודיע על כך</w:t>
                  </w:r>
                </w:p>
                <w:p w:rsidR="004B58AB" w:rsidRDefault="004B58AB">
                  <w:pPr>
                    <w:pStyle w:val="OCRStyle2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בעל הציוד למי שהוציא את הצו והוא יבטלו.</w:t>
                  </w:r>
                </w:p>
                <w:p w:rsidR="004B58AB" w:rsidRDefault="004B58AB">
                  <w:pPr>
                    <w:pStyle w:val="OCRStyle2"/>
                    <w:ind w:left="893"/>
                    <w:rPr>
                      <w:rtl/>
                    </w:rPr>
                  </w:pPr>
                  <w:r>
                    <w:rPr>
                      <w:rtl/>
                    </w:rPr>
                    <w:t>(ו) הליכים של בית משפט השלום לפי תקנה זו יוגשו ויתבררו</w:t>
                  </w:r>
                </w:p>
                <w:p w:rsidR="004B58AB" w:rsidRDefault="004B58AB">
                  <w:pPr>
                    <w:pStyle w:val="OCRStyle2"/>
                    <w:ind w:left="346"/>
                  </w:pPr>
                  <w:r>
                    <w:rPr>
                      <w:rtl/>
                    </w:rPr>
                    <w:t>בדרך של בקשה, בדרך המרצה."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D03D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03D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FA76635-A614-4C4A-B7E6-2F5F99082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D03D5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4B58A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2008-04-07T01:03:00Z</dcterms:created>
  <dcterms:modified xsi:type="dcterms:W3CDTF">2008-04-07T01:03:00Z</dcterms:modified>
</cp:coreProperties>
</file>