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845D6C" w:rsidRDefault="00845D6C">
      <w:pPr>
        <w:rPr>
          <w:rtl/>
        </w:rPr>
      </w:pPr>
    </w:p>
    <w:p w:rsidR="00845D6C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30289" o:spid="_x0000_s1025" type="#_x0000_t202" style="position:absolute;left:0;text-align:left;margin-left:50pt;margin-top:771.95pt;width:495.35pt;height:30pt;z-index:7;mso-position-horizontal-relative:page;mso-position-vertical-relative:page" stroked="f">
            <v:textbox style="mso-next-textbox:#_x0000_s30289" inset="0,0,0,0">
              <w:txbxContent>
                <w:p w:rsidR="00845D6C" w:rsidRDefault="00845D6C">
                  <w:r>
                    <w:rPr>
                      <w:rtl/>
                    </w:rPr>
                    <w:t>24                                           ספר החוקים 644                   י"ט בטבת התשל"ב 06.01.1972</w:t>
                  </w:r>
                </w:p>
              </w:txbxContent>
            </v:textbox>
            <w10:wrap anchorx="page" anchory="page"/>
          </v:shape>
        </w:pict>
      </w:r>
      <w:r>
        <w:pict>
          <v:shape id="_x0000_s30290" o:spid="_x0000_s1026" type="#_x0000_t202" style="position:absolute;left:0;text-align:left;margin-left:82.35pt;margin-top:655.1pt;width:403.7pt;height:78.4pt;z-index:6;mso-position-horizontal-relative:page;mso-position-vertical-relative:page" stroked="f">
            <v:textbox style="mso-next-textbox:#_x0000_s30290" inset="0,0,0,0">
              <w:txbxContent>
                <w:p w:rsidR="00845D6C" w:rsidRDefault="00845D6C">
                  <w:pPr>
                    <w:pStyle w:val="OCRStyle1"/>
                    <w:ind w:left="472"/>
                    <w:rPr>
                      <w:rtl/>
                    </w:rPr>
                  </w:pPr>
                  <w:r>
                    <w:rPr>
                      <w:rtl/>
                    </w:rPr>
                    <w:t>* נתקבל בכנסת ביוט י"א בטבת תשל"ב (29 בדצמבר 1971); הצעת החוק ודברי הסבר פורסמו בה"ח 971, תשל"ב,</w:t>
                  </w:r>
                </w:p>
                <w:p w:rsidR="00845D6C" w:rsidRDefault="00845D6C">
                  <w:pPr>
                    <w:pStyle w:val="OCRStyle1"/>
                    <w:ind w:left="475"/>
                    <w:rPr>
                      <w:sz w:val="18"/>
                      <w:szCs w:val="18"/>
                      <w:rtl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עמ' 93.</w:t>
                  </w:r>
                </w:p>
                <w:p w:rsidR="00845D6C" w:rsidRPr="00845D6C" w:rsidRDefault="00845D6C">
                  <w:pPr>
                    <w:pStyle w:val="OCRStyle1"/>
                    <w:ind w:left="486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1 ק"ת 2069, תשכ"ז, עמ' 2741; ס"ח תשכ"ח, עמ' 20; ס"ח תשכ''ט, עמ' 32; ס"ח תש"ל, עמ' 15.</w:t>
                  </w:r>
                </w:p>
              </w:txbxContent>
            </v:textbox>
            <w10:wrap anchorx="page" anchory="page"/>
          </v:shape>
        </w:pict>
      </w:r>
      <w:r>
        <w:pict>
          <v:shape id="_x0000_s30291" o:spid="_x0000_s1027" type="#_x0000_t202" style="position:absolute;left:0;text-align:left;margin-left:86.7pt;margin-top:568.95pt;width:119.6pt;height:37.8pt;z-index:5;mso-position-horizontal-relative:page;mso-position-vertical-relative:page" stroked="f">
            <v:textbox style="mso-next-textbox:#_x0000_s30291" inset="0,0,0,0">
              <w:txbxContent>
                <w:p w:rsidR="00845D6C" w:rsidRDefault="00845D6C">
                  <w:pPr>
                    <w:pStyle w:val="OCRStyle1"/>
                    <w:ind w:left="184"/>
                    <w:rPr>
                      <w:rtl/>
                    </w:rPr>
                  </w:pPr>
                  <w:r>
                    <w:rPr>
                      <w:rtl/>
                    </w:rPr>
                    <w:t>יעקב ש' שפירא</w:t>
                  </w:r>
                </w:p>
                <w:p w:rsidR="00845D6C" w:rsidRDefault="00845D6C">
                  <w:pPr>
                    <w:pStyle w:val="OCRStyle1"/>
                    <w:ind w:left="554"/>
                  </w:pPr>
                  <w:r>
                    <w:rPr>
                      <w:rtl/>
                    </w:rPr>
                    <w:t>שר המשפטים</w:t>
                  </w:r>
                </w:p>
              </w:txbxContent>
            </v:textbox>
            <w10:wrap anchorx="page" anchory="page"/>
          </v:shape>
        </w:pict>
      </w:r>
      <w:r>
        <w:pict>
          <v:shape id="_x0000_s30292" o:spid="_x0000_s1028" type="#_x0000_t202" style="position:absolute;left:0;text-align:left;margin-left:228.65pt;margin-top:566.4pt;width:95.65pt;height:41.4pt;z-index:4;mso-position-horizontal-relative:page;mso-position-vertical-relative:page" stroked="f">
            <v:textbox style="mso-next-textbox:#_x0000_s30292" inset="0,0,0,0">
              <w:txbxContent>
                <w:p w:rsidR="00845D6C" w:rsidRDefault="00845D6C">
                  <w:pPr>
                    <w:pStyle w:val="OCRStyle1"/>
                    <w:ind w:left="115"/>
                    <w:rPr>
                      <w:rtl/>
                    </w:rPr>
                  </w:pPr>
                  <w:r>
                    <w:rPr>
                      <w:rtl/>
                    </w:rPr>
                    <w:t>גולדה מאיר</w:t>
                  </w:r>
                </w:p>
                <w:p w:rsidR="00845D6C" w:rsidRDefault="00845D6C">
                  <w:pPr>
                    <w:pStyle w:val="OCRStyle1"/>
                    <w:ind w:left="234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30293" o:spid="_x0000_s1029" type="#_x0000_t202" style="position:absolute;left:0;text-align:left;margin-left:350.85pt;margin-top:597.5pt;width:127.5pt;height:39.6pt;z-index:3;mso-position-horizontal-relative:page;mso-position-vertical-relative:page" stroked="f">
            <v:textbox style="mso-next-textbox:#_x0000_s30293" inset="0,0,0,0">
              <w:txbxContent>
                <w:p w:rsidR="00845D6C" w:rsidRDefault="00845D6C">
                  <w:pPr>
                    <w:pStyle w:val="OCRStyle1"/>
                    <w:ind w:left="122"/>
                    <w:rPr>
                      <w:rtl/>
                    </w:rPr>
                  </w:pPr>
                  <w:r>
                    <w:rPr>
                      <w:rtl/>
                    </w:rPr>
                    <w:t>שביאור זלמן שזר</w:t>
                  </w:r>
                </w:p>
                <w:p w:rsidR="00845D6C" w:rsidRDefault="00845D6C">
                  <w:pPr>
                    <w:pStyle w:val="OCRStyle1"/>
                    <w:ind w:left="583"/>
                  </w:pPr>
                  <w:r>
                    <w:rPr>
                      <w:rtl/>
                    </w:rPr>
                    <w:t>בשיא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30294" o:spid="_x0000_s1030" type="#_x0000_t202" style="position:absolute;left:0;text-align:left;margin-left:86.7pt;margin-top:471.75pt;width:475.2pt;height:79.2pt;z-index:2;mso-position-horizontal-relative:page;mso-position-vertical-relative:page" stroked="f">
            <v:textbox style="mso-next-textbox:#_x0000_s30294" inset="0,0,0,0">
              <w:txbxContent>
                <w:tbl>
                  <w:tblPr>
                    <w:tblW w:w="4438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328"/>
                    <w:gridCol w:w="1313"/>
                  </w:tblGrid>
                  <w:tr w:rsidR="00845D6C" w:rsidRPr="00845D6C">
                    <w:trPr>
                      <w:jc w:val="right"/>
                    </w:trPr>
                    <w:tc>
                      <w:tcPr>
                        <w:tcW w:w="4240" w:type="pct"/>
                      </w:tcPr>
                      <w:p w:rsidR="00845D6C" w:rsidRDefault="00845D6C">
                        <w:pPr>
                          <w:pStyle w:val="OCRStyle1"/>
                          <w:rPr>
                            <w:sz w:val="26"/>
                            <w:szCs w:val="26"/>
                            <w:rtl/>
                          </w:rPr>
                        </w:pPr>
                        <w:r>
                          <w:rPr>
                            <w:sz w:val="26"/>
                            <w:szCs w:val="26"/>
                            <w:rtl/>
                          </w:rPr>
                          <w:t>1. תקפן של תקנות-שעת-חירום (השטחים המוחזקים על-ידי צבא-הגנה לישראל -</w:t>
                        </w:r>
                      </w:p>
                      <w:p w:rsidR="00845D6C" w:rsidRDefault="00845D6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שיפוט בעבירות ועזרה משפטית), תשכ"ז-1967 1, מוארך בזה עד יום כ"ו בטבת תשל"ג</w:t>
                        </w:r>
                      </w:p>
                      <w:p w:rsidR="00845D6C" w:rsidRPr="00845D6C" w:rsidRDefault="00845D6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(31 בדצמבר 1972).</w:t>
                        </w:r>
                      </w:p>
                    </w:tc>
                    <w:tc>
                      <w:tcPr>
                        <w:tcW w:w="760" w:type="pct"/>
                      </w:tcPr>
                      <w:p w:rsidR="00845D6C" w:rsidRPr="00845D6C" w:rsidRDefault="00845D6C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הארכת תוקף</w:t>
                        </w:r>
                      </w:p>
                    </w:tc>
                  </w:tr>
                  <w:tr w:rsidR="00845D6C" w:rsidRPr="00845D6C">
                    <w:trPr>
                      <w:jc w:val="right"/>
                    </w:trPr>
                    <w:tc>
                      <w:tcPr>
                        <w:tcW w:w="4240" w:type="pct"/>
                      </w:tcPr>
                      <w:p w:rsidR="00845D6C" w:rsidRPr="00845D6C" w:rsidRDefault="00845D6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2. תחילתו של חוק זה היא ביום י"ג בטבת תשל"ב (31 בדצמבר 1971).</w:t>
                        </w:r>
                      </w:p>
                    </w:tc>
                    <w:tc>
                      <w:tcPr>
                        <w:tcW w:w="760" w:type="pct"/>
                      </w:tcPr>
                      <w:p w:rsidR="00845D6C" w:rsidRPr="00845D6C" w:rsidRDefault="00845D6C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תחילה</w:t>
                        </w:r>
                      </w:p>
                    </w:tc>
                  </w:tr>
                </w:tbl>
                <w:p w:rsidR="00845D6C" w:rsidRDefault="00845D6C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30295" o:spid="_x0000_s1031" type="#_x0000_t202" style="position:absolute;left:0;text-align:left;margin-left:90.85pt;margin-top:403.65pt;width:393.45pt;height:61.2pt;z-index:1;mso-position-horizontal-relative:page;mso-position-vertical-relative:page" stroked="f">
            <v:textbox style="mso-next-textbox:#_x0000_s30295" inset="0,0,0,0">
              <w:txbxContent>
                <w:p w:rsidR="00845D6C" w:rsidRDefault="00845D6C">
                  <w:pPr>
                    <w:pStyle w:val="OCRStyle1"/>
                    <w:ind w:left="248"/>
                    <w:rPr>
                      <w:sz w:val="26"/>
                      <w:szCs w:val="26"/>
                      <w:rtl/>
                    </w:rPr>
                  </w:pPr>
                  <w:r>
                    <w:rPr>
                      <w:sz w:val="26"/>
                      <w:szCs w:val="26"/>
                      <w:rtl/>
                    </w:rPr>
                    <w:t>חוק להארכת תוקף של תקנות-שעת-חירום (השטחים המוחזקים על-</w:t>
                  </w:r>
                </w:p>
                <w:p w:rsidR="00845D6C" w:rsidRDefault="00845D6C">
                  <w:pPr>
                    <w:pStyle w:val="OCRStyle1"/>
                    <w:ind w:left="814"/>
                    <w:rPr>
                      <w:sz w:val="26"/>
                      <w:szCs w:val="26"/>
                      <w:rtl/>
                    </w:rPr>
                  </w:pPr>
                  <w:r>
                    <w:rPr>
                      <w:sz w:val="26"/>
                      <w:szCs w:val="26"/>
                      <w:rtl/>
                    </w:rPr>
                    <w:t>ידי צבא-הגנה לישראל - שיפוט בעבירות ועזרה משפטית)'</w:t>
                  </w:r>
                </w:p>
                <w:p w:rsidR="00845D6C" w:rsidRPr="00845D6C" w:rsidRDefault="00845D6C">
                  <w:pPr>
                    <w:pStyle w:val="OCRStyle1"/>
                    <w:ind w:left="2966"/>
                    <w:rPr>
                      <w:sz w:val="26"/>
                      <w:szCs w:val="26"/>
                    </w:rPr>
                  </w:pPr>
                  <w:r>
                    <w:rPr>
                      <w:sz w:val="26"/>
                      <w:szCs w:val="26"/>
                      <w:rtl/>
                    </w:rPr>
                    <w:t>תשל"ב-1971 *</w:t>
                  </w:r>
                </w:p>
              </w:txbxContent>
            </v:textbox>
            <w10:wrap anchorx="page" anchory="page"/>
          </v:shape>
        </w:pict>
      </w:r>
    </w:p>
    <w:p w:rsidR="003D24B9" w:rsidRDefault="003D24B9">
      <w:bookmarkStart w:id="0" w:name="_PictureBullets"/>
      <w:bookmarkEnd w:id="0"/>
    </w:p>
    <w:sectPr w:rsidR="003D24B9" w:rsidSect="00845D6C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845D6C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178C9EAA-EB7A-4F92-B7A8-E79B03627B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845D6C"/>
    <w:rPr>
      <w:rFonts w:ascii="Arial" w:hAnsi="Arial" w:cs="Arial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</Words>
  <Characters>9</Characters>
  <Application>Microsoft Office Word</Application>
  <DocSecurity>4</DocSecurity>
  <Lines>1</Lines>
  <Paragraphs>1</Paragraphs>
  <ScaleCrop>false</ScaleCrop>
  <Company/>
  <LinksUpToDate>false</LinksUpToDate>
  <CharactersWithSpaces>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sharp8</dc:creator>
  <cp:keywords/>
  <dc:description/>
  <cp:lastModifiedBy>sharp8</cp:lastModifiedBy>
  <cp:revision>2</cp:revision>
  <dcterms:created xsi:type="dcterms:W3CDTF">2008-04-06T21:44:00Z</dcterms:created>
  <dcterms:modified xsi:type="dcterms:W3CDTF">2008-04-06T21:44:00Z</dcterms:modified>
</cp:coreProperties>
</file>