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30C7" w:rsidRDefault="00D730C7">
      <w:pPr>
        <w:rPr>
          <w:rtl/>
        </w:rPr>
      </w:pPr>
    </w:p>
    <w:p w:rsidR="00D730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6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561" inset="0,0,0,0">
              <w:txbxContent>
                <w:p w:rsidR="00D730C7" w:rsidRDefault="00D730C7">
                  <w:r>
                    <w:rPr>
                      <w:rtl/>
                    </w:rPr>
                    <w:t>22                                          ספר החוקים 1070                   ט"ו בטבת התשמ"ג 31.12.1982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2" o:spid="_x0000_s1026" type="#_x0000_t202" style="position:absolute;left:0;text-align:left;margin-left:94.25pt;margin-top:644.6pt;width:378pt;height:86.9pt;z-index:5;mso-wrap-style:none;mso-position-horizontal-relative:page;mso-position-vertical-relative:page" stroked="f">
            <v:textbox style="mso-next-textbox:#_x0000_s30562" inset="0,0,0,0">
              <w:txbxContent>
                <w:p w:rsidR="00D730C7" w:rsidRDefault="00D730C7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התשמ"ג (27 בדצמבר 1982); הצעת החוק ודברי הסבר פורסמו בה"ח 1602,</w:t>
                  </w:r>
                </w:p>
                <w:p w:rsidR="00D730C7" w:rsidRDefault="00D730C7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23.</w:t>
                  </w:r>
                </w:p>
                <w:p w:rsidR="00D730C7" w:rsidRDefault="00D730C7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התשכ''ד, עמ' 175: התש"ם, עמ' 42.</w:t>
                  </w:r>
                </w:p>
                <w:p w:rsidR="00D730C7" w:rsidRDefault="00D730C7">
                  <w:pPr>
                    <w:pStyle w:val="OCRStyle1"/>
                    <w:ind w:left="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התשל"ו, עמ' 262! התש''ם, עמ' 60! התשמ"ב, עמ' .172</w:t>
                  </w:r>
                </w:p>
                <w:p w:rsidR="00D730C7" w:rsidRPr="00D730C7" w:rsidRDefault="00D730C7">
                  <w:pPr>
                    <w:pStyle w:val="OCRStyle1"/>
                    <w:ind w:left="2070"/>
                  </w:pPr>
                  <w:r>
                    <w:rPr>
                      <w:sz w:val="18"/>
                      <w:szCs w:val="18"/>
                      <w:rtl/>
                    </w:rPr>
                    <w:t xml:space="preserve">2832-0334 </w:t>
                  </w:r>
                  <w:r>
                    <w:rPr>
                      <w:sz w:val="18"/>
                      <w:szCs w:val="18"/>
                    </w:rPr>
                    <w:t>ISSN</w:t>
                  </w:r>
                  <w:r>
                    <w:rPr>
                      <w:sz w:val="18"/>
                      <w:szCs w:val="18"/>
                      <w:rtl/>
                    </w:rPr>
                    <w:t xml:space="preserve"> -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3" o:spid="_x0000_s1027" type="#_x0000_t202" style="position:absolute;left:0;text-align:left;margin-left:110.7pt;margin-top:580.05pt;width:93.85pt;height:34.25pt;z-index:4;mso-wrap-style:none;mso-position-horizontal-relative:page;mso-position-vertical-relative:page" stroked="f">
            <v:textbox style="mso-next-textbox:#_x0000_s30563" inset="0,0,0,0">
              <w:txbxContent>
                <w:p w:rsidR="00D730C7" w:rsidRDefault="00D730C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30C7" w:rsidRDefault="00D730C7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4" o:spid="_x0000_s1028" type="#_x0000_t202" style="position:absolute;left:0;text-align:left;margin-left:396.4pt;margin-top:605.8pt;width:79.2pt;height:34.45pt;z-index:3;mso-wrap-style:none;mso-position-horizontal-relative:page;mso-position-vertical-relative:page" stroked="f">
            <v:textbox style="mso-next-textbox:#_x0000_s30564" inset="0,0,0,0">
              <w:txbxContent>
                <w:p w:rsidR="00D730C7" w:rsidRDefault="00D730C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730C7" w:rsidRDefault="00D730C7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65" o:spid="_x0000_s1029" type="#_x0000_t202" style="position:absolute;left:0;text-align:left;margin-left:83.95pt;margin-top:260.65pt;width:471.85pt;height:317.6pt;z-index:2;mso-wrap-style:none;mso-position-horizontal-relative:page;mso-position-vertical-relative:page" stroked="f">
            <v:textbox style="mso-next-textbox:#_x0000_s30565" inset="0,0,0,0">
              <w:txbxContent>
                <w:tbl>
                  <w:tblPr>
                    <w:tblW w:w="5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2"/>
                    <w:gridCol w:w="942"/>
                    <w:gridCol w:w="1457"/>
                  </w:tblGrid>
                  <w:tr w:rsidR="00D730C7" w:rsidRPr="00D730C7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D730C7" w:rsidRDefault="00D730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בתקנה 1 לתקנות שעת חירום (תשלומי חובה), התשי"ח-1958  1(להלן -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בסופה יבוא:</w:t>
                        </w:r>
                      </w:p>
                      <w:p w:rsidR="00D730C7" w:rsidRP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""המנהלי' - מנהל אגף המכס והבלו."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D730C7" w:rsidRPr="00D730C7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15 (א) לתקנות -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אחרי פסקה (4) יבוא: 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י'(4א) לא מסר דין וחשבון לענין תקנות אלה או הצווים שהותקנו מכוחן,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;"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במקום "5,000 לירות" יבוא "כאמור בסעיף 61(א) (3) לחוק העונשין,</w:t>
                        </w:r>
                      </w:p>
                      <w:p w:rsidR="00D730C7" w:rsidRP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2".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15</w:t>
                        </w:r>
                      </w:p>
                    </w:tc>
                  </w:tr>
                  <w:tr w:rsidR="00D730C7" w:rsidRPr="00D730C7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תקנה 15 לתקנות יבוא: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15א</w:t>
                        </w:r>
                      </w:p>
                    </w:tc>
                  </w:tr>
                  <w:tr w:rsidR="00D730C7">
                    <w:trPr>
                      <w:jc w:val="right"/>
                    </w:trPr>
                    <w:tc>
                      <w:tcPr>
                        <w:tcW w:w="3602" w:type="pct"/>
                      </w:tcPr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עבר אדם עבירה על תקנות אלה או הצווים שהותקנו מכוחן,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נחשד בה, רשאי המנהל, בהסכמת אותו אדם, לקחת ממנו כופר כסף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שלא יעלה על כפל הסכום הקבוע בסעיף 61(א)(3) לחוק העונ-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שין, התשל"ז-1977, או על פי שלושה משווי הטובין אשר בקשר אתם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העבירה, לפי הסכום הגדול יותר; משעשה כן, יופסק כל הליך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לענין העבירה.</w:t>
                        </w:r>
                      </w:p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שהוגש כתב אישום אין לקחת כופר כסף אלא אם</w:t>
                        </w:r>
                      </w:p>
                      <w:p w:rsidR="00D730C7" w:rsidRPr="00D730C7" w:rsidRDefault="00D730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זאת היועץ המשפטי לממשלה או מי שהוא הסמיך לכדי"</w:t>
                        </w:r>
                      </w:p>
                    </w:tc>
                    <w:tc>
                      <w:tcPr>
                        <w:tcW w:w="549" w:type="pct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 ופר כסף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730C7" w:rsidRPr="00D730C7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תקפן של התקנות מוארך בזה עד ליום כ"ה בטבת התשמ"ד (31 בדצמבר 1983),</w:t>
                        </w:r>
                      </w:p>
                    </w:tc>
                    <w:tc>
                      <w:tcPr>
                        <w:tcW w:w="849" w:type="pct"/>
                      </w:tcPr>
                      <w:p w:rsidR="00D730C7" w:rsidRPr="00D730C7" w:rsidRDefault="00D730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D730C7" w:rsidRDefault="00D730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66" o:spid="_x0000_s1030" type="#_x0000_t202" style="position:absolute;left:0;text-align:left;margin-left:113.3pt;margin-top:209.8pt;width:336.6pt;height:45.55pt;z-index:1;mso-wrap-style:none;mso-position-horizontal-relative:page;mso-position-vertical-relative:page" stroked="f">
            <v:textbox style="mso-next-textbox:#_x0000_s30566" inset="0,0,0,0">
              <w:txbxContent>
                <w:p w:rsidR="00D730C7" w:rsidRDefault="00D730C7">
                  <w:pPr>
                    <w:pStyle w:val="OCRStyle1"/>
                    <w:ind w:left="15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ולהארכת תוקף של תקנות שעת חירום (תשלומי חובה),</w:t>
                  </w:r>
                </w:p>
                <w:p w:rsidR="00D730C7" w:rsidRPr="00D730C7" w:rsidRDefault="00D730C7">
                  <w:pPr>
                    <w:pStyle w:val="OCRStyle1"/>
                    <w:ind w:left="22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התשמ"ג-1982*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30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5037DD-54C5-486B-8A89-9367E2B8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30C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2008-04-07T01:21:00Z</dcterms:created>
  <dcterms:modified xsi:type="dcterms:W3CDTF">2008-04-07T01:21:00Z</dcterms:modified>
</cp:coreProperties>
</file>