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0F2C" w:rsidRDefault="00320F2C">
      <w:pPr>
        <w:rPr>
          <w:rtl/>
        </w:rPr>
      </w:pPr>
    </w:p>
    <w:p w:rsidR="00320F2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0667" inset="0,0,0,0">
              <w:txbxContent>
                <w:p w:rsidR="00E97B46" w:rsidRDefault="00E97B46">
                  <w:r>
                    <w:rPr>
                      <w:rtl/>
                    </w:rPr>
                    <w:t>72                                           ספר החוקים 422                  י"ב בניסן התשכ"ד 25.03.1964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8" o:spid="_x0000_s1026" type="#_x0000_t202" style="position:absolute;left:0;text-align:left;margin-left:86.1pt;margin-top:660.2pt;width:382.95pt;height:80pt;z-index:3;mso-position-horizontal-relative:page;mso-position-vertical-relative:page" stroked="f">
            <v:textbox style="mso-next-textbox:#_x0000_s30668" inset="0,0,0,0">
              <w:txbxContent>
                <w:p w:rsidR="00E97B46" w:rsidRDefault="00E97B4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 ; הצעת החוק ודברי הסבר פורסמו בה"ח 600,</w:t>
                  </w:r>
                </w:p>
                <w:p w:rsidR="00E97B46" w:rsidRDefault="00E97B46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תשכ"ד, עמ' 92.</w:t>
                  </w:r>
                </w:p>
                <w:p w:rsidR="00E97B46" w:rsidRDefault="00E97B46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עמ' 138.</w:t>
                  </w:r>
                </w:p>
                <w:p w:rsidR="00E97B46" w:rsidRPr="00320F2C" w:rsidRDefault="00E97B46">
                  <w:pPr>
                    <w:pStyle w:val="OCRStyle1"/>
                    <w:ind w:left="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1041, תוס' 2 מס' 1138, עמ' .1880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69" o:spid="_x0000_s1027" type="#_x0000_t202" style="position:absolute;left:0;text-align:left;margin-left:77.4pt;margin-top:106.6pt;width:482.9pt;height:551.05pt;z-index:2;mso-position-horizontal-relative:page;mso-position-vertical-relative:page" stroked="f">
            <v:textbox style="mso-next-textbox:#_x0000_s3066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1"/>
                    <w:gridCol w:w="1484"/>
                    <w:gridCol w:w="1234"/>
                  </w:tblGrid>
                  <w:tr w:rsidR="00E97B46" w:rsidRPr="00320F2C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E97B46" w:rsidRDefault="00E97B4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בתקנה 1 לתקנות-שעת-חירום (תשלומי חובה), תשי"ח-1958 1 (להלן - התקנות),</w:t>
                        </w:r>
                      </w:p>
                      <w:p w:rsidR="00E97B46" w:rsidRPr="00320F2C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הגדרת "היטל" יבוא: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97B46" w:rsidRPr="00320F2C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E97B46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"היטלי' - ההיטל לוויסות השיווק והכוונתו המוטל לפי תקנה 2, וכן היטל המוטל לפי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2א ו-2ג".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97B46" w:rsidRPr="00320F2C">
                    <w:trPr>
                      <w:jc w:val="right"/>
                    </w:trPr>
                    <w:tc>
                      <w:tcPr>
                        <w:tcW w:w="4297" w:type="pct"/>
                        <w:gridSpan w:val="2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אחרי תקנה 2 לתקנות יבוא:</w:t>
                        </w:r>
                      </w:p>
                    </w:tc>
                    <w:tc>
                      <w:tcPr>
                        <w:tcW w:w="703" w:type="pct"/>
                        <w:vMerge w:val="restart"/>
                      </w:tcPr>
                      <w:p w:rsidR="00E97B46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חוטפת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  <w:p w:rsidR="00E97B46" w:rsidRPr="00320F2C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2א-2ד</w:t>
                        </w:r>
                      </w:p>
                    </w:tc>
                  </w:tr>
                  <w:tr w:rsidR="00E97B46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הופחת שער החליפין של הלירה הישראלית לעומת הדולר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ארצות הברית של אמריקה (להלן - הדולר) רשאי השר לקבוע, בצו'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שמחזיק טובין שיפורטו בצו ישלם עליהם היטל בשיעור מסויים משוויים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 ערב ההפחתה, ושלא יעלה על השיעור שבו הופחת שער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הלירה. שיעור ההיטל ואופן חישוב שווי הטובין ייקבעו בצו.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לפי תקנת משנה (א) יחול רק על טובין שיובאו ליש-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 ושלייבואם נרכש כדין מטבע-חוץ, תמורת מטבע ישראלי' אצל סוחר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 כמשמעותו בתקנה 3 לתקנות ההגנה (כספים), 1941 2, בשער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הפחתת שער החליפין.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היטל לפי תקנת משנה (א) לא יחול על טובין שלפני הפחתת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עברו תהליך עיבוד או שימשו לייצור או למתן שירות ;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יראו טובין שהם ציוד כאילו שימשו לייצור או למתן שירות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מהמועד בו הגיעו לידי היצרן או נותן השירות לשם הפעלה במפעלו.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"היטל על</w:t>
                        </w:r>
                      </w:p>
                      <w:p w:rsidR="00E97B46" w:rsidRPr="00320F2C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מחזיק טובין</w:t>
                        </w:r>
                      </w:p>
                    </w:tc>
                    <w:tc>
                      <w:tcPr>
                        <w:tcW w:w="703" w:type="pct"/>
                        <w:vMerge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97B46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2ב. הוסכם על מכירתם של טובין במחיר קבוע במטבע ישראלי ולאחר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הוטל על המוכר בשל אותם טובין היטל לפי תקנה 2א, יהא רשאי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לחזור בו מן ההסכם זולת אם נקבעה בהסכם הוראה מפורשת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לענין זה או אם הסכים הקונה שיוסף ההיטל על המחיר המוסכם.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97B46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למכירת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טובין במחיר</w:t>
                        </w:r>
                      </w:p>
                      <w:p w:rsidR="00E97B46" w:rsidRPr="00320F2C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קבוע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97B46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2ג. (א) הופחת שער החליפין של הלירה הישראלית לעומת הדולה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השר לקבוע בצו, כי מי שהתחייב לייצא יהלומים, שיפורטו בצו,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שיובאו או שנרכשו על פי היתר מאת המפקח על היהלומים, ישלם היטל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מסויים מהסכום בו התחייב לייצאם (להלן - תמורת היצוא)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במטבע ישראלי בשער שהיה קיים ערב ההפחתה, ושלא יעלה על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שבו הופחת שער החליפין של הלירה.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לפי תקנת משנה (א) לא יחול אם הוכח להנחת דעתו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המפקח שתמורת היצוא נמכרה לסוחר מוסמך בשער שלפני שינוי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של הלירה.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97B46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בשל</w:t>
                        </w:r>
                      </w:p>
                      <w:p w:rsidR="00E97B46" w:rsidRPr="00320F2C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יהלומים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97B46">
                    <w:trPr>
                      <w:jc w:val="right"/>
                    </w:trPr>
                    <w:tc>
                      <w:tcPr>
                        <w:tcW w:w="3452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2ד. שר האוצר, או מי שהוסמך על ידיו לכך, רשאי לפטור מחזיק טובין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ההיטל עליהם, כולו או מקצתה אם הוכח להנחת דעתו כי למחזיק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אין ולא יכול להיות, בשל אותם טובין, כל יתרון עסקי לרבות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עודף, כתוצאה מהפחתת שער החליפין של המטבע."</w:t>
                        </w:r>
                      </w:p>
                    </w:tc>
                    <w:tc>
                      <w:tcPr>
                        <w:tcW w:w="845" w:type="pct"/>
                      </w:tcPr>
                      <w:p w:rsidR="00E97B46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</w:t>
                        </w:r>
                      </w:p>
                      <w:p w:rsidR="00E97B46" w:rsidRPr="00320F2C" w:rsidRDefault="00E97B4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</w:t>
                        </w:r>
                      </w:p>
                    </w:tc>
                    <w:tc>
                      <w:tcPr>
                        <w:tcW w:w="703" w:type="pct"/>
                      </w:tcPr>
                      <w:p w:rsidR="00E97B46" w:rsidRDefault="00E97B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97B46" w:rsidRDefault="00E97B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70" o:spid="_x0000_s1028" type="#_x0000_t202" style="position:absolute;left:0;text-align:left;margin-left:98pt;margin-top:83.4pt;width:376.2pt;height:19pt;z-index:1;mso-position-horizontal-relative:page;mso-position-vertical-relative:page" stroked="f">
            <v:textbox style="mso-next-textbox:#_x0000_s30670" inset="0,0,0,0">
              <w:txbxContent>
                <w:p w:rsidR="00E97B46" w:rsidRPr="00320F2C" w:rsidRDefault="00E97B46">
                  <w:pPr>
                    <w:pStyle w:val="OCRStyle1"/>
                    <w:ind w:left="27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(תשלומי חובה), תשכ"ד-1964*</w:t>
                  </w:r>
                </w:p>
              </w:txbxContent>
            </v:textbox>
            <w10:wrap anchorx="page" anchory="page"/>
          </v:shape>
        </w:pict>
      </w:r>
    </w:p>
    <w:p w:rsidR="00E41EC3" w:rsidRDefault="00E41EC3">
      <w:pPr>
        <w:rPr>
          <w:rtl/>
        </w:rPr>
      </w:pPr>
      <w:r>
        <w:rPr>
          <w:rtl/>
        </w:rPr>
        <w:br w:type="page"/>
      </w:r>
    </w:p>
    <w:p w:rsidR="00E41EC3" w:rsidRDefault="00000000">
      <w:pPr>
        <w:rPr>
          <w:rtl/>
        </w:rPr>
      </w:pPr>
      <w:r>
        <w:pict>
          <v:shape id="_x0000_s3067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671" inset="0,0,0,0">
              <w:txbxContent>
                <w:p w:rsidR="00E97B46" w:rsidRDefault="00E97B46">
                  <w:r>
                    <w:rPr>
                      <w:rtl/>
                    </w:rPr>
                    <w:t>73                                           ספר החוקים 422                  י"ב בניסן התשכ"ד 25.03.1964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2" o:spid="_x0000_s1030" type="#_x0000_t202" style="position:absolute;left:0;text-align:left;margin-left:330.8pt;margin-top:633.25pt;width:217pt;height:99pt;z-index:8;mso-position-horizontal-relative:page;mso-position-vertical-relative:page" stroked="f">
            <v:textbox style="mso-next-textbox:#_x0000_s30672" inset="0,0,0,0">
              <w:txbxContent>
                <w:p w:rsidR="00E97B46" w:rsidRDefault="00E97B46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3 ק"ת תשכ"ב, עמ' 1280; ק"ח תשכ"ג, עמ' 1768.</w:t>
                  </w:r>
                </w:p>
                <w:p w:rsidR="00E97B46" w:rsidRDefault="00E97B46">
                  <w:pPr>
                    <w:pStyle w:val="OCRStyle2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תשכ"ב, עמ' 1285; ק"ת תשכ"ג, עמ' .1770</w:t>
                  </w:r>
                </w:p>
                <w:p w:rsidR="00E97B46" w:rsidRDefault="00E97B46">
                  <w:pPr>
                    <w:pStyle w:val="OCRStyle2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ק"ת תשכ"ב, עמ' .1291</w:t>
                  </w:r>
                </w:p>
                <w:p w:rsidR="00E97B46" w:rsidRDefault="00E97B46">
                  <w:pPr>
                    <w:pStyle w:val="OCRStyle2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ק"ת תשכ"ב, עמ' 1292.</w:t>
                  </w:r>
                </w:p>
                <w:p w:rsidR="00E97B46" w:rsidRPr="00E41EC3" w:rsidRDefault="00E97B46">
                  <w:pPr>
                    <w:pStyle w:val="OCRStyle2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ק"ת תשכ"ב, עמ' .1202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3" o:spid="_x0000_s1031" type="#_x0000_t202" style="position:absolute;left:0;text-align:left;margin-left:196.6pt;margin-top:492.85pt;width:91.3pt;height:33.65pt;z-index:7;mso-position-horizontal-relative:page;mso-position-vertical-relative:page" stroked="f">
            <v:textbox style="mso-next-textbox:#_x0000_s30673" inset="0,0,0,0">
              <w:txbxContent>
                <w:p w:rsidR="00E97B46" w:rsidRDefault="00E97B4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97B46" w:rsidRDefault="00E97B46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4" o:spid="_x0000_s1032" type="#_x0000_t202" style="position:absolute;left:0;text-align:left;margin-left:383.3pt;margin-top:515.25pt;width:149.9pt;height:39.6pt;z-index:6;mso-position-horizontal-relative:page;mso-position-vertical-relative:page" stroked="f">
            <v:textbox style="mso-next-textbox:#_x0000_s30674" inset="0,0,0,0">
              <w:txbxContent>
                <w:p w:rsidR="00E97B46" w:rsidRDefault="00E97B46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97B46" w:rsidRDefault="00E97B46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5" o:spid="_x0000_s1033" type="#_x0000_t202" style="position:absolute;left:0;text-align:left;margin-left:92.45pt;margin-top:68.55pt;width:462.15pt;height:423.5pt;z-index:5;mso-position-horizontal-relative:page;mso-position-vertical-relative:page" stroked="f">
            <v:textbox style="mso-next-textbox:#_x0000_s3067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7100"/>
                  </w:tblGrid>
                  <w:tr w:rsidR="00E97B46" w:rsidRPr="00E41EC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בתקנה 3 לתקנות, במקום "תקנה 2" יבוא "תקנות 2,2א ו-2ג".</w:t>
                        </w:r>
                      </w:p>
                    </w:tc>
                  </w:tr>
                  <w:tr w:rsidR="00E97B46" w:rsidRPr="00E41EC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18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E97B46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בתקנה 18 לתקנות, במקום "יושב סכום ההיטל" יבוא "יושב סכום ההיטל שנקבע בצו</w:t>
                        </w:r>
                      </w:p>
                      <w:p w:rsidR="00E97B46" w:rsidRPr="00E41EC3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2".</w:t>
                        </w:r>
                      </w:p>
                    </w:tc>
                  </w:tr>
                  <w:tr w:rsidR="00E97B46" w:rsidRPr="00E41EC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10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בתקנה 19 (א) לתקנות, במקום "ההיטל" יבוא "ההיטל שנקבע בצו לפי תקנה 2'/</w:t>
                        </w:r>
                      </w:p>
                    </w:tc>
                  </w:tr>
                  <w:tr w:rsidR="00E97B46" w:rsidRPr="00E41EC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תלונה 20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בתקנה 20 לתקנות, במקום "לפי התקנות 2 ו-22" יבוא "לפי התקנות 2,2א, 2ג, ו-22".</w:t>
                        </w:r>
                      </w:p>
                    </w:tc>
                  </w:tr>
                  <w:tr w:rsidR="00E97B46" w:rsidRPr="00E41EC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E97B46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זה, למעט הוראות תקנה 2ב' כפי שניתנה בסעיף 2, ביום ה' באדר א'</w:t>
                        </w:r>
                      </w:p>
                      <w:p w:rsidR="00E97B46" w:rsidRPr="00E41EC3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 (9 בפברואר 1962).</w:t>
                        </w:r>
                      </w:p>
                    </w:tc>
                  </w:tr>
                  <w:tr w:rsidR="00E97B46" w:rsidRPr="00E41EC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E97B46" w:rsidRPr="00E41EC3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E97B46" w:rsidRDefault="00E97B4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אף האמור בצו-שעת-חירום (שיעור תשלום חובה על מחזיקי טובין),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תשכ"ב-1962 3, בצו-שעת-חירום (שיעור תשלום חובה על יבוא טובין)' תשכ"ב-1962 4,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בצו-שעת-חירום (שיעור תשלום חובה על מחזיקי מטבע-חוץ), תשכ"ב-1962 5, בצו-שעת-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(שיעור תשלום חובה על שירות סוורות), תשכ"ב-1962 6, ובצו-שעת-חירום (שיעור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על מוצרי דלק), תשכ"ב-1962 7 (להלן - הצווים הקיימים), יראו ההיטל שהוטל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הצווים הקיימים כאילו הוטל לפי התקנות כפי שתוקנו בחוק זה והוא היטל לפי תקנה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 לתקנות.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 היטל לפי צו-שעת-חירום (שיעור תשלום חובה על מחזיקי טובין),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תשכ"ב-1962, והוכיח להנחת דעתו של שר האוצר, או מי שהוסמך על ידיו לכך, כי לפני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ז' באדר א' תשכ"ב (11 בפברואר 1962)' התחייב בהסכם בכתב למכור את הטובין במחיר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 במטבע ישראלי, שאינו כולל את ההיטל, וכי קיים את ההסכם, יוחזר לו ההיטל ששולם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אותם טובין.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מותר להטיל היטל בצו לפי תקנה 2ג לתקנות, כפי שהוספה בחוק זה, בקשר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להפחתת שער החליפין של הלירה הישראלית ביום ה' באדר אי תשכ"ב (9 בפברואר 1962)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 שאותה תקנה היתה חלה עליו באותו יום, אילו היתה אז בתקפה' ובלבד שכל סכום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על פי הצווים הקיימים בשל יהלומים יראוהו כאילו שולם על פי צו שניתן לפי</w:t>
                        </w:r>
                      </w:p>
                      <w:p w:rsidR="00E97B46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בשל אותם יהלומים. על צו שניתן לפי סעיף זה לא יחולו הוראות תקנה 3</w:t>
                        </w:r>
                      </w:p>
                      <w:p w:rsidR="00E97B46" w:rsidRPr="00E41EC3" w:rsidRDefault="00E97B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לתקנות.</w:t>
                        </w:r>
                      </w:p>
                    </w:tc>
                  </w:tr>
                </w:tbl>
                <w:p w:rsidR="00E97B46" w:rsidRDefault="00E97B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97B46" w:rsidRDefault="00E97B46">
      <w:pPr>
        <w:rPr>
          <w:rtl/>
        </w:rPr>
      </w:pPr>
      <w:r>
        <w:rPr>
          <w:rtl/>
        </w:rPr>
        <w:br w:type="page"/>
      </w:r>
    </w:p>
    <w:p w:rsidR="00E97B46" w:rsidRDefault="00000000">
      <w:pPr>
        <w:rPr>
          <w:rtl/>
        </w:rPr>
      </w:pPr>
      <w:r>
        <w:pict>
          <v:shape id="_x0000_s30676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0676" inset="0,0,0,0">
              <w:txbxContent>
                <w:p w:rsidR="00E97B46" w:rsidRDefault="00E97B46">
                  <w:r>
                    <w:rPr>
                      <w:rtl/>
                    </w:rPr>
                    <w:t>74                                           ספר החוקים 422                  י"ב בניסן התשכ"ד 25.03.1964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77" o:spid="_x0000_s1035" type="#_x0000_t202" style="position:absolute;left:0;text-align:left;margin-left:87.1pt;margin-top:722pt;width:154.05pt;height:36.05pt;z-index:10;mso-position-horizontal-relative:page;mso-position-vertical-relative:page" stroked="f">
            <v:textbox style="mso-next-textbox:#_x0000_s30677" inset="0,0,0,0">
              <w:txbxContent>
                <w:p w:rsidR="00E97B46" w:rsidRDefault="00E97B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0F2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4361F2-15D7-4F0D-A718-D4658232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0F2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41EC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97B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2008-04-06T20:01:00Z</dcterms:created>
  <dcterms:modified xsi:type="dcterms:W3CDTF">2008-04-06T20:02:00Z</dcterms:modified>
</cp:coreProperties>
</file>