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0A09" w:rsidRDefault="00B60A09">
      <w:pPr>
        <w:rPr>
          <w:rtl/>
        </w:rPr>
      </w:pPr>
    </w:p>
    <w:p w:rsidR="00B60A0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96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0968" inset="0,0,0,0">
              <w:txbxContent>
                <w:p w:rsidR="00B60A09" w:rsidRDefault="00B60A09">
                  <w:r>
                    <w:rPr>
                      <w:rtl/>
                    </w:rPr>
                    <w:t>12                                          ספר החוקים 1096                 כ"ד בכסליו התשמ"ד 30.11.1983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69" o:spid="_x0000_s1026" type="#_x0000_t202" style="position:absolute;left:0;text-align:left;margin-left:95.35pt;margin-top:693.4pt;width:174.05pt;height:47.7pt;z-index:8;mso-wrap-style:none;mso-position-horizontal-relative:page;mso-position-vertical-relative:page" stroked="f">
            <v:textbox style="mso-next-textbox:#_x0000_s30969" inset="0,0,0,0">
              <w:txbxContent>
                <w:p w:rsidR="00B60A09" w:rsidRDefault="00B60A09">
                  <w:pPr>
                    <w:pStyle w:val="OCRStyle1"/>
                    <w:rPr>
                      <w:rtl/>
                    </w:rPr>
                  </w:pPr>
                </w:p>
                <w:p w:rsidR="00B60A09" w:rsidRPr="00B60A09" w:rsidRDefault="00B60A09">
                  <w:pPr>
                    <w:pStyle w:val="OCRStyle1"/>
                    <w:ind w:left="803"/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70" o:spid="_x0000_s1027" type="#_x0000_t202" style="position:absolute;left:0;text-align:left;margin-left:87pt;margin-top:415.2pt;width:401.75pt;height:160.95pt;z-index:7;mso-wrap-style:none;mso-position-horizontal-relative:page;mso-position-vertical-relative:page" stroked="f">
            <v:textbox style="mso-next-textbox:#_x0000_s30970" inset="0,0,0,0">
              <w:txbxContent>
                <w:p w:rsidR="00B60A09" w:rsidRDefault="00B60A09">
                  <w:pPr>
                    <w:pStyle w:val="OCRStyle1"/>
                    <w:ind w:left="3002"/>
                    <w:rPr>
                      <w:rtl/>
                    </w:rPr>
                  </w:pPr>
                  <w:r>
                    <w:rPr>
                      <w:rtl/>
                    </w:rPr>
                    <w:t>תיקון טעות *</w:t>
                  </w:r>
                </w:p>
                <w:p w:rsidR="00B60A09" w:rsidRDefault="00B60A09">
                  <w:pPr>
                    <w:pStyle w:val="OCRStyle1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(לפי סעיף 10א(ב) לפקודת סדרי השלטון והמשפט, התש"ח-1948)</w:t>
                  </w:r>
                </w:p>
                <w:p w:rsidR="00B60A09" w:rsidRDefault="00B60A09">
                  <w:pPr>
                    <w:pStyle w:val="OCRStyle1"/>
                    <w:ind w:left="806"/>
                    <w:rPr>
                      <w:rtl/>
                    </w:rPr>
                  </w:pPr>
                  <w:r>
                    <w:rPr>
                      <w:rtl/>
                    </w:rPr>
                    <w:t>בחוק לשכת עורכי הדין (התמחות) (הוראת שעה), התשמ"ג-1983 1, בסעיף 2,</w:t>
                  </w:r>
                </w:p>
                <w:p w:rsidR="00B60A09" w:rsidRDefault="00B60A09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במקום כותרת השוליים יבוא: "קיצור תקופת התמחות".</w:t>
                  </w:r>
                </w:p>
                <w:p w:rsidR="00B60A09" w:rsidRDefault="00B60A09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בכסלו התשמ''ד (9 בנובמבר 1983).</w:t>
                  </w:r>
                </w:p>
                <w:p w:rsidR="00B60A09" w:rsidRPr="00B60A09" w:rsidRDefault="00B60A09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1 ס"ח התשמ"ג,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71" o:spid="_x0000_s1028" type="#_x0000_t202" style="position:absolute;left:0;text-align:left;margin-left:100.3pt;margin-top:339.4pt;width:389.45pt;height:50.3pt;z-index:6;mso-wrap-style:none;mso-position-horizontal-relative:page;mso-position-vertical-relative:page" stroked="f">
            <v:textbox style="mso-next-textbox:#_x0000_s30971" inset="0,0,0,0">
              <w:txbxContent>
                <w:p w:rsidR="00B60A09" w:rsidRDefault="00B60A09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בכסלו התשמ''ד (21 בנובמבר 1983); הצעת החוק ודברי הסבר פורסמו בה''ח 1632,</w:t>
                  </w:r>
                </w:p>
                <w:p w:rsidR="00B60A09" w:rsidRDefault="00B60A09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התשמ''ג, עמ' 198.</w:t>
                  </w:r>
                </w:p>
                <w:p w:rsidR="00B60A09" w:rsidRPr="00B60A09" w:rsidRDefault="00B60A09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ס"ח התשכ''ט, עמ' 259; התשל''ט, עמ' 20; התשמ''א, עמ' 106.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72" o:spid="_x0000_s1029" type="#_x0000_t202" style="position:absolute;left:0;text-align:left;margin-left:220.65pt;margin-top:250.3pt;width:137pt;height:50.3pt;z-index:5;mso-wrap-style:none;mso-position-horizontal-relative:page;mso-position-vertical-relative:page" stroked="f">
            <v:textbox style="mso-next-textbox:#_x0000_s30972" inset="0,0,0,0">
              <w:txbxContent>
                <w:p w:rsidR="00B60A09" w:rsidRDefault="00B60A09">
                  <w:pPr>
                    <w:pStyle w:val="OCRStyle1"/>
                    <w:ind w:left="878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B60A09" w:rsidRDefault="00B60A09">
                  <w:pPr>
                    <w:pStyle w:val="OCRStyle1"/>
                    <w:ind w:left="547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B60A09" w:rsidRDefault="00B60A09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73" o:spid="_x0000_s1030" type="#_x0000_t202" style="position:absolute;left:0;text-align:left;margin-left:369.15pt;margin-top:293.25pt;width:101.55pt;height:38.6pt;z-index:4;mso-wrap-style:none;mso-position-horizontal-relative:page;mso-position-vertical-relative:page" stroked="f">
            <v:textbox style="mso-next-textbox:#_x0000_s30973" inset="0,0,0,0">
              <w:txbxContent>
                <w:p w:rsidR="00B60A09" w:rsidRDefault="00B60A09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60A09" w:rsidRDefault="00B60A09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74" o:spid="_x0000_s1031" type="#_x0000_t202" style="position:absolute;left:0;text-align:left;margin-left:119.3pt;margin-top:249.5pt;width:78.4pt;height:37.05pt;z-index:3;mso-wrap-style:none;mso-position-horizontal-relative:page;mso-position-vertical-relative:page" stroked="f">
            <v:textbox style="mso-next-textbox:#_x0000_s30974" inset="0,0,0,0">
              <w:txbxContent>
                <w:p w:rsidR="00B60A09" w:rsidRDefault="00B60A09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B60A09" w:rsidRDefault="00B60A09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975" o:spid="_x0000_s1032" type="#_x0000_t202" style="position:absolute;left:0;text-align:left;margin-left:92.75pt;margin-top:111.5pt;width:460.55pt;height:130.5pt;z-index:2;mso-wrap-style:none;mso-position-horizontal-relative:page;mso-position-vertical-relative:page" stroked="f">
            <v:textbox style="mso-next-textbox:#_x0000_s30975" inset="0,0,0,0">
              <w:txbxContent>
                <w:tbl>
                  <w:tblPr>
                    <w:tblW w:w="49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9"/>
                    <w:gridCol w:w="1156"/>
                  </w:tblGrid>
                  <w:tr w:rsidR="00B60A09" w:rsidRPr="00B60A09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60A09" w:rsidRDefault="00B60A0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58 לחוק המקרקעין, התשכ''ט-1968  1 (להלן - החוק העיקרי), בסופו</w:t>
                        </w:r>
                      </w:p>
                      <w:p w:rsid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זה, "החזקה תקינה" - שמירה על מצבו של הרכוש המשותף כסי שהיה</w:t>
                        </w:r>
                      </w:p>
                      <w:p w:rsidR="00B60A09" w:rsidRP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 גמר הבניה, לרבות שיפורים שבוצעו בו לאחר מכן בהסכמת בעלי הדירות."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60A09" w:rsidRP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</w:tr>
                  <w:tr w:rsidR="00B60A09" w:rsidRPr="00B60A09">
                    <w:trPr>
                      <w:jc w:val="right"/>
                    </w:trPr>
                    <w:tc>
                      <w:tcPr>
                        <w:tcW w:w="4310" w:type="pct"/>
                      </w:tcPr>
                      <w:p w:rsid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2(א) לתוספת לחוק העיקרי, בסופו יבוא:</w:t>
                        </w:r>
                      </w:p>
                      <w:p w:rsid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זה, "פגיעה ברכוש המשותף" - לרבות פגיעה בחזותו החיצונית התקינה</w:t>
                        </w:r>
                      </w:p>
                      <w:p w:rsidR="00B60A09" w:rsidRP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והאחידה כפי שהיתה בעת גמר הבניה."</w:t>
                        </w:r>
                      </w:p>
                    </w:tc>
                    <w:tc>
                      <w:tcPr>
                        <w:tcW w:w="690" w:type="pct"/>
                      </w:tcPr>
                      <w:p w:rsid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  <w:p w:rsidR="00B60A09" w:rsidRPr="00B60A09" w:rsidRDefault="00B60A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לתוספת</w:t>
                        </w:r>
                      </w:p>
                    </w:tc>
                  </w:tr>
                </w:tbl>
                <w:p w:rsidR="00B60A09" w:rsidRDefault="00B60A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976" o:spid="_x0000_s1033" type="#_x0000_t202" style="position:absolute;left:0;text-align:left;margin-left:163.85pt;margin-top:74.45pt;width:252.45pt;height:32.25pt;z-index:1;mso-wrap-style:none;mso-position-horizontal-relative:page;mso-position-vertical-relative:page" stroked="f">
            <v:textbox style="mso-next-textbox:#_x0000_s30976" inset="0,0,0,0">
              <w:txbxContent>
                <w:p w:rsidR="00B60A09" w:rsidRPr="00B60A09" w:rsidRDefault="00B60A09">
                  <w:pPr>
                    <w:pStyle w:val="OCRStyle1"/>
                    <w:ind w:left="18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המקרקעין (תיקון מס' 9), התשמ"ד-1983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0A0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850B13-FC7A-4195-B6AE-3A36D2E9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0A0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2008-04-07T01:35:00Z</dcterms:created>
  <dcterms:modified xsi:type="dcterms:W3CDTF">2008-04-07T01:35:00Z</dcterms:modified>
</cp:coreProperties>
</file>