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370A82" w:rsidRDefault="00370A82">
      <w:pPr>
        <w:rPr>
          <w:rtl/>
        </w:rPr>
      </w:pPr>
    </w:p>
    <w:p w:rsidR="00370A82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30992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30992" inset="0,0,0,0">
              <w:txbxContent>
                <w:p w:rsidR="00370A82" w:rsidRDefault="00370A82">
                  <w:r>
                    <w:rPr>
                      <w:rtl/>
                    </w:rPr>
                    <w:t>16                                           ספר החוקים 916                  כ"ד בחשון התשל"ט 24.11.1978</w:t>
                  </w:r>
                </w:p>
              </w:txbxContent>
            </v:textbox>
            <w10:wrap anchorx="page" anchory="page"/>
          </v:shape>
        </w:pict>
      </w:r>
      <w:r>
        <w:pict>
          <v:shape id="_x0000_s30993" o:spid="_x0000_s1026" type="#_x0000_t202" style="position:absolute;left:0;text-align:left;margin-left:101.2pt;margin-top:318.4pt;width:373.65pt;height:36.25pt;z-index:6;mso-position-horizontal-relative:page;mso-position-vertical-relative:page" stroked="f">
            <v:textbox style="mso-next-textbox:#_x0000_s30993" inset="0,0,0,0">
              <w:txbxContent>
                <w:p w:rsidR="00370A82" w:rsidRDefault="00370A82">
                  <w:pPr>
                    <w:pStyle w:val="OCRStyle1"/>
                    <w:ind w:left="252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י"ד בחשון תשל"ט (14 בנובמבר 1978); הצעת החוק ודברי הסבר פורסמו בה"ח 1350,</w:t>
                  </w:r>
                </w:p>
                <w:p w:rsidR="00370A82" w:rsidRDefault="00370A82">
                  <w:pPr>
                    <w:pStyle w:val="OCRStyle1"/>
                    <w:ind w:left="360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תשל"ח, עמ' 254.</w:t>
                  </w:r>
                </w:p>
                <w:p w:rsidR="00370A82" w:rsidRPr="00370A82" w:rsidRDefault="00370A82">
                  <w:pPr>
                    <w:pStyle w:val="OCRStyle1"/>
                    <w:ind w:left="256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ס"ח תשי"ד, עמ' 119.</w:t>
                  </w:r>
                </w:p>
              </w:txbxContent>
            </v:textbox>
            <w10:wrap anchorx="page" anchory="page"/>
          </v:shape>
        </w:pict>
      </w:r>
      <w:r>
        <w:pict>
          <v:shape id="_x0000_s30994" o:spid="_x0000_s1027" type="#_x0000_t202" style="position:absolute;left:0;text-align:left;margin-left:122.55pt;margin-top:239.2pt;width:86.9pt;height:31.1pt;z-index:5;mso-position-horizontal-relative:page;mso-position-vertical-relative:page" stroked="f">
            <v:textbox style="mso-next-textbox:#_x0000_s30994" inset="0,0,0,0">
              <w:txbxContent>
                <w:p w:rsidR="00370A82" w:rsidRDefault="00370A82">
                  <w:pPr>
                    <w:pStyle w:val="OCRStyle1"/>
                    <w:ind w:left="148"/>
                    <w:rPr>
                      <w:rtl/>
                    </w:rPr>
                  </w:pPr>
                  <w:r>
                    <w:rPr>
                      <w:rtl/>
                    </w:rPr>
                    <w:t>שמחה ארליך</w:t>
                  </w:r>
                </w:p>
                <w:p w:rsidR="00370A82" w:rsidRDefault="00370A82">
                  <w:pPr>
                    <w:pStyle w:val="OCRStyle1"/>
                    <w:ind w:left="425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30995" o:spid="_x0000_s1028" type="#_x0000_t202" style="position:absolute;left:0;text-align:left;margin-left:247.5pt;margin-top:236.6pt;width:79.2pt;height:32.65pt;z-index:4;mso-position-horizontal-relative:page;mso-position-vertical-relative:page" stroked="f">
            <v:textbox style="mso-next-textbox:#_x0000_s30995" inset="0,0,0,0">
              <w:txbxContent>
                <w:p w:rsidR="00370A82" w:rsidRDefault="00370A82">
                  <w:pPr>
                    <w:pStyle w:val="OCRStyle1"/>
                    <w:ind w:left="234"/>
                    <w:rPr>
                      <w:rtl/>
                    </w:rPr>
                  </w:pPr>
                  <w:r>
                    <w:rPr>
                      <w:rtl/>
                    </w:rPr>
                    <w:t>מנחם בגין</w:t>
                  </w:r>
                </w:p>
                <w:p w:rsidR="00370A82" w:rsidRDefault="00370A82">
                  <w:pPr>
                    <w:pStyle w:val="OCRStyle1"/>
                    <w:ind w:left="248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0996" o:spid="_x0000_s1029" type="#_x0000_t202" style="position:absolute;left:0;text-align:left;margin-left:409.25pt;margin-top:260.75pt;width:69.7pt;height:33.65pt;z-index:3;mso-position-horizontal-relative:page;mso-position-vertical-relative:page" stroked="f">
            <v:textbox style="mso-next-textbox:#_x0000_s30996" inset="0,0,0,0">
              <w:txbxContent>
                <w:p w:rsidR="00370A82" w:rsidRDefault="00370A82">
                  <w:pPr>
                    <w:pStyle w:val="OCRStyle1"/>
                    <w:ind w:left="108"/>
                    <w:rPr>
                      <w:rtl/>
                    </w:rPr>
                  </w:pPr>
                  <w:r>
                    <w:rPr>
                      <w:rtl/>
                    </w:rPr>
                    <w:t>יצחק נבון</w:t>
                  </w:r>
                </w:p>
                <w:p w:rsidR="00370A82" w:rsidRDefault="00370A82">
                  <w:pPr>
                    <w:pStyle w:val="OCRStyle1"/>
                    <w:ind w:left="173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0997" o:spid="_x0000_s1030" type="#_x0000_t202" style="position:absolute;left:0;text-align:left;margin-left:95.05pt;margin-top:126.55pt;width:457.2pt;height:100.6pt;z-index:2;mso-position-horizontal-relative:page;mso-position-vertical-relative:page" stroked="f">
            <v:textbox style="mso-next-textbox:#_x0000_s30997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68"/>
                    <w:gridCol w:w="1146"/>
                  </w:tblGrid>
                  <w:tr w:rsidR="00370A82" w:rsidRPr="00370A82">
                    <w:trPr>
                      <w:jc w:val="right"/>
                    </w:trPr>
                    <w:tc>
                      <w:tcPr>
                        <w:tcW w:w="4311" w:type="pct"/>
                      </w:tcPr>
                      <w:p w:rsidR="00370A82" w:rsidRDefault="00370A82">
                        <w:pPr>
                          <w:pStyle w:val="OCRStyle1"/>
                          <w:rPr>
                            <w:sz w:val="24"/>
                            <w:szCs w:val="24"/>
                            <w:rtl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>1, בסעיף 5 לחוק אמנות קרן המטבע הבינלאומית והבנק הבינלאומי לשיקום ולפיתוח,</w:t>
                        </w:r>
                      </w:p>
                      <w:p w:rsidR="00370A82" w:rsidRDefault="00370A8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תשי"ד-1954 2, במקום הסיפה המתחילה במלים "ובמיוחד בדבר מעמדם" יבוא '-ובמיוחד</w:t>
                        </w:r>
                      </w:p>
                      <w:p w:rsidR="00370A82" w:rsidRDefault="00370A8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בענין המעמד, החסינויות וזכויות היתר של הקרן ושל הבנק, של נגידיהם, מנהליהם וחלי-</w:t>
                        </w:r>
                      </w:p>
                      <w:p w:rsidR="00370A82" w:rsidRDefault="00370A8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פיהם, של חברי ועדות הקרן ושל הנציגים לישיבות המועצה המנהלת שלה, של יועציהם</w:t>
                        </w:r>
                      </w:p>
                      <w:p w:rsidR="00370A82" w:rsidRDefault="00370A8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כל אלה, וכן של פקידי הבנק והקרן ועובדיהם, ו-בענין הוראות אמנות הקרן בדבר</w:t>
                        </w:r>
                      </w:p>
                      <w:p w:rsidR="00370A82" w:rsidRPr="00370A82" w:rsidRDefault="00370A8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שלילת תקפם של הסכמי חליפין מסויימים".</w:t>
                        </w:r>
                      </w:p>
                    </w:tc>
                    <w:tc>
                      <w:tcPr>
                        <w:tcW w:w="689" w:type="pct"/>
                      </w:tcPr>
                      <w:p w:rsidR="00370A82" w:rsidRPr="00370A82" w:rsidRDefault="00370A82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rtl/>
                          </w:rPr>
                          <w:t>(תיקון סעיף 5</w:t>
                        </w:r>
                      </w:p>
                    </w:tc>
                  </w:tr>
                </w:tbl>
                <w:p w:rsidR="00370A82" w:rsidRDefault="00370A82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0998" o:spid="_x0000_s1031" type="#_x0000_t202" style="position:absolute;left:0;text-align:left;margin-left:133.85pt;margin-top:85.15pt;width:305.5pt;height:40.4pt;z-index:1;mso-position-horizontal-relative:page;mso-position-vertical-relative:page" stroked="f">
            <v:textbox style="mso-next-textbox:#_x0000_s30998" inset="0,0,0,0">
              <w:txbxContent>
                <w:p w:rsidR="00370A82" w:rsidRDefault="00370A82">
                  <w:pPr>
                    <w:pStyle w:val="OCRStyle1"/>
                    <w:ind w:left="133"/>
                    <w:rPr>
                      <w:sz w:val="24"/>
                      <w:szCs w:val="24"/>
                      <w:rtl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חוק אמנות קרן המטבע הבינלאומית והבנק הבינלאומי</w:t>
                  </w:r>
                </w:p>
                <w:p w:rsidR="00370A82" w:rsidRPr="00370A82" w:rsidRDefault="00370A82">
                  <w:pPr>
                    <w:pStyle w:val="OCRStyle1"/>
                    <w:ind w:left="860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לשיקום ולפיתוח (תיקון), תשל"ט-1978 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370A82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70A82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B4AF0D90-04B6-4D71-9C59-E9C11929FE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370A82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4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2008-04-06T23:51:00Z</dcterms:created>
  <dcterms:modified xsi:type="dcterms:W3CDTF">2008-04-06T23:51:00Z</dcterms:modified>
</cp:coreProperties>
</file>