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4770B" w:rsidRDefault="0064770B">
      <w:pPr>
        <w:rPr>
          <w:rtl/>
        </w:rPr>
      </w:pPr>
    </w:p>
    <w:p w:rsidR="0064770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08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1080" inset="0,0,0,0">
              <w:txbxContent>
                <w:p w:rsidR="00740CA7" w:rsidRDefault="00740CA7">
                  <w:r>
                    <w:rPr>
                      <w:rtl/>
                    </w:rPr>
                    <w:t>245                                          ספר החוקים 711                     ד' באב התשל"ג 02.08.1973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81" o:spid="_x0000_s1026" type="#_x0000_t202" style="position:absolute;left:0;text-align:left;margin-left:158.15pt;margin-top:674.7pt;width:384.7pt;height:93.85pt;z-index:3;mso-position-horizontal-relative:page;mso-position-vertical-relative:page" stroked="f">
            <v:textbox style="mso-next-textbox:#_x0000_s31081" inset="0,0,0,0">
              <w:txbxContent>
                <w:p w:rsidR="00740CA7" w:rsidRDefault="00740CA7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*נתקבל בכנסת ביום כ"ג בתמוז תשל"ג (23 ביולי 1973); הגעת החוק ודברי הסבר פורסמו בה''ח 1083 ,תשל"ג</w:t>
                  </w:r>
                </w:p>
                <w:p w:rsidR="00740CA7" w:rsidRDefault="00740CA7">
                  <w:pPr>
                    <w:pStyle w:val="OCRStyle1"/>
                    <w:ind w:left="54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436.</w:t>
                  </w:r>
                </w:p>
                <w:p w:rsidR="00740CA7" w:rsidRDefault="00740CA7">
                  <w:pPr>
                    <w:pStyle w:val="OCRStyle1"/>
                    <w:ind w:left="43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תשל"ט, עמ' 138; תשכ"א עמ' 166; תשכ"ט, עמ' 12,עמ' 199.</w:t>
                  </w:r>
                </w:p>
                <w:p w:rsidR="00740CA7" w:rsidRPr="0064770B" w:rsidRDefault="00740CA7">
                  <w:pPr>
                    <w:pStyle w:val="OCRStyle1"/>
                    <w:ind w:left="42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תשכ"ט, עמ' 103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82" o:spid="_x0000_s1027" type="#_x0000_t202" style="position:absolute;left:0;text-align:left;margin-left:84.1pt;margin-top:132.4pt;width:477.75pt;height:526.7pt;z-index:2;mso-position-horizontal-relative:page;mso-position-vertical-relative:page" stroked="f">
            <v:textbox style="mso-next-textbox:#_x0000_s31082" inset="0,0,0,0">
              <w:txbxContent>
                <w:tbl>
                  <w:tblPr>
                    <w:tblW w:w="43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0"/>
                    <w:gridCol w:w="5372"/>
                    <w:gridCol w:w="1831"/>
                  </w:tblGrid>
                  <w:tr w:rsidR="00740CA7" w:rsidRPr="0064770B">
                    <w:trPr>
                      <w:jc w:val="right"/>
                    </w:trPr>
                    <w:tc>
                      <w:tcPr>
                        <w:tcW w:w="744" w:type="pct"/>
                      </w:tcPr>
                      <w:p w:rsidR="00740CA7" w:rsidRPr="0064770B" w:rsidRDefault="00740C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9</w:t>
                        </w:r>
                      </w:p>
                    </w:tc>
                    <w:tc>
                      <w:tcPr>
                        <w:tcW w:w="4256" w:type="pct"/>
                        <w:gridSpan w:val="2"/>
                      </w:tcPr>
                      <w:p w:rsidR="00740CA7" w:rsidRDefault="00740C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במקום סעיף 9 לחוק הבחירות (דרכי תעמולה), תשי"ט-11959 (להלן - החוק</w:t>
                        </w:r>
                      </w:p>
                      <w:p w:rsidR="00740CA7" w:rsidRPr="0064770B" w:rsidRDefault="00740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יבוא:</w:t>
                        </w:r>
                      </w:p>
                    </w:tc>
                  </w:tr>
                  <w:tr w:rsidR="00740CA7" w:rsidRPr="0064770B">
                    <w:trPr>
                      <w:jc w:val="right"/>
                    </w:trPr>
                    <w:tc>
                      <w:tcPr>
                        <w:tcW w:w="744" w:type="pct"/>
                      </w:tcPr>
                      <w:p w:rsidR="00740CA7" w:rsidRDefault="00740CA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74" w:type="pct"/>
                      </w:tcPr>
                      <w:p w:rsidR="00740CA7" w:rsidRDefault="00740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לא תהיה תעמולת בחירות באמצעות השימוש בכלי רכב;</w:t>
                        </w:r>
                      </w:p>
                      <w:p w:rsidR="00740CA7" w:rsidRDefault="00740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זה לא יחול ביום הבחירות לגבי כלי רכב העומד באותו יום לרשות</w:t>
                        </w:r>
                      </w:p>
                      <w:p w:rsidR="00740CA7" w:rsidRDefault="00740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 מועמדים,</w:t>
                        </w:r>
                      </w:p>
                      <w:p w:rsidR="00740CA7" w:rsidRDefault="00740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פרט לאמור בסעיף 10 לא תהיה תעמולת בחירות באמצעות</w:t>
                        </w:r>
                      </w:p>
                      <w:p w:rsidR="00740CA7" w:rsidRDefault="00740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הדבקה, התקנה, כתיבה, צביעה או זריקת אור על מבנים או גדרות או</w:t>
                        </w:r>
                      </w:p>
                      <w:p w:rsidR="00740CA7" w:rsidRDefault="00740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כבישים, מדרכות או שטחים אחרים המיועדים לציבור שילך או</w:t>
                        </w:r>
                      </w:p>
                      <w:p w:rsidR="00740CA7" w:rsidRDefault="00740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שיסע בהם."</w:t>
                        </w:r>
                      </w:p>
                    </w:tc>
                    <w:tc>
                      <w:tcPr>
                        <w:tcW w:w="1082" w:type="pct"/>
                      </w:tcPr>
                      <w:p w:rsidR="00740CA7" w:rsidRDefault="00740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 שימוש</w:t>
                        </w:r>
                      </w:p>
                      <w:p w:rsidR="00740CA7" w:rsidRDefault="00740C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בכלי רכב ואיסור</w:t>
                        </w:r>
                      </w:p>
                      <w:p w:rsidR="00740CA7" w:rsidRPr="0064770B" w:rsidRDefault="00740C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הדבקות וכו'</w:t>
                        </w:r>
                      </w:p>
                    </w:tc>
                  </w:tr>
                  <w:tr w:rsidR="00740CA7" w:rsidRPr="0064770B">
                    <w:trPr>
                      <w:jc w:val="right"/>
                    </w:trPr>
                    <w:tc>
                      <w:tcPr>
                        <w:tcW w:w="744" w:type="pct"/>
                      </w:tcPr>
                      <w:p w:rsidR="00740CA7" w:rsidRPr="0064770B" w:rsidRDefault="00740C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256" w:type="pct"/>
                        <w:gridSpan w:val="2"/>
                      </w:tcPr>
                      <w:p w:rsidR="00740CA7" w:rsidRDefault="00740C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10 לחוק העיקרי, במקום פסקה (4) יבוא:</w:t>
                        </w:r>
                      </w:p>
                      <w:p w:rsidR="00740CA7" w:rsidRDefault="00740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המודעה לא תודבק אלא על לוחות מודעות שייעדה</w:t>
                        </w:r>
                      </w:p>
                      <w:p w:rsidR="00740CA7" w:rsidRDefault="00740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מקומית דרך קבע להדבקת מודעות או שייעדה במיוחד</w:t>
                        </w:r>
                      </w:p>
                      <w:p w:rsidR="00740CA7" w:rsidRDefault="00740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להדבקת מודעות של תעמולת בחירות לקראת בחירות, או על</w:t>
                        </w:r>
                      </w:p>
                      <w:p w:rsidR="00740CA7" w:rsidRDefault="00740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משרדיה או מועדוניה של המפלגה או של רשימת המועמדים</w:t>
                        </w:r>
                      </w:p>
                      <w:p w:rsidR="00740CA7" w:rsidRPr="0064770B" w:rsidRDefault="00740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המפרסמת את המודעה.'"</w:t>
                        </w:r>
                      </w:p>
                    </w:tc>
                  </w:tr>
                  <w:tr w:rsidR="00740CA7" w:rsidRPr="0064770B">
                    <w:trPr>
                      <w:jc w:val="right"/>
                    </w:trPr>
                    <w:tc>
                      <w:tcPr>
                        <w:tcW w:w="744" w:type="pct"/>
                      </w:tcPr>
                      <w:p w:rsidR="00740CA7" w:rsidRPr="0064770B" w:rsidRDefault="00740C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10א</w:t>
                        </w:r>
                      </w:p>
                    </w:tc>
                    <w:tc>
                      <w:tcPr>
                        <w:tcW w:w="4256" w:type="pct"/>
                        <w:gridSpan w:val="2"/>
                      </w:tcPr>
                      <w:p w:rsidR="00740CA7" w:rsidRPr="0064770B" w:rsidRDefault="00740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אחרי סעיף 10 לחוק העיקרי יבוא:</w:t>
                        </w:r>
                      </w:p>
                    </w:tc>
                  </w:tr>
                  <w:tr w:rsidR="00740CA7" w:rsidRPr="0064770B">
                    <w:trPr>
                      <w:jc w:val="right"/>
                    </w:trPr>
                    <w:tc>
                      <w:tcPr>
                        <w:tcW w:w="744" w:type="pct"/>
                      </w:tcPr>
                      <w:p w:rsidR="00740CA7" w:rsidRDefault="00740CA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74" w:type="pct"/>
                      </w:tcPr>
                      <w:p w:rsidR="00740CA7" w:rsidRDefault="00740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10א. הוראות סעיף 10 יחולו, בשינויים המחוייבים, גם על שלט מודפס</w:t>
                        </w:r>
                      </w:p>
                      <w:p w:rsidR="00740CA7" w:rsidRDefault="00740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בלתי מודפס, אולם הגבלת פסקה (1) לסעיף 10 לא תחול על שלט</w:t>
                        </w:r>
                      </w:p>
                      <w:p w:rsidR="00740CA7" w:rsidRDefault="00740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הנושא אך ורק אות ובינוי שאושרו כדין לרשימת מועמדים."</w:t>
                        </w:r>
                      </w:p>
                    </w:tc>
                    <w:tc>
                      <w:tcPr>
                        <w:tcW w:w="1082" w:type="pct"/>
                      </w:tcPr>
                      <w:p w:rsidR="00740CA7" w:rsidRDefault="00740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"הגבלה על</w:t>
                        </w:r>
                      </w:p>
                      <w:p w:rsidR="00740CA7" w:rsidRPr="0064770B" w:rsidRDefault="00740C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שלטים</w:t>
                        </w:r>
                      </w:p>
                    </w:tc>
                  </w:tr>
                  <w:tr w:rsidR="00740CA7" w:rsidRPr="0064770B">
                    <w:trPr>
                      <w:jc w:val="right"/>
                    </w:trPr>
                    <w:tc>
                      <w:tcPr>
                        <w:tcW w:w="744" w:type="pct"/>
                      </w:tcPr>
                      <w:p w:rsidR="00740CA7" w:rsidRDefault="00740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11</w:t>
                        </w:r>
                      </w:p>
                    </w:tc>
                    <w:tc>
                      <w:tcPr>
                        <w:tcW w:w="4256" w:type="pct"/>
                        <w:gridSpan w:val="2"/>
                      </w:tcPr>
                      <w:p w:rsidR="00740CA7" w:rsidRPr="0064770B" w:rsidRDefault="00740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.במקום סעיף 11 לחוק העיקרי יבוא:</w:t>
                        </w:r>
                      </w:p>
                    </w:tc>
                  </w:tr>
                  <w:tr w:rsidR="00740CA7" w:rsidRPr="0064770B">
                    <w:trPr>
                      <w:jc w:val="right"/>
                    </w:trPr>
                    <w:tc>
                      <w:tcPr>
                        <w:tcW w:w="744" w:type="pct"/>
                      </w:tcPr>
                      <w:p w:rsidR="00740CA7" w:rsidRDefault="00740CA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74" w:type="pct"/>
                      </w:tcPr>
                      <w:p w:rsidR="00740CA7" w:rsidRDefault="00740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על אף האמור ככל דין אחר, לא תרשה רשות מקומית הדבקת</w:t>
                        </w:r>
                      </w:p>
                      <w:p w:rsidR="00740CA7" w:rsidRDefault="00740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חומר שיש בו תעמולת כחילות אם החומר נוגד את הוראות סעיפים 10,9</w:t>
                        </w:r>
                      </w:p>
                      <w:p w:rsidR="00740CA7" w:rsidRDefault="00740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10א."</w:t>
                        </w:r>
                      </w:p>
                    </w:tc>
                    <w:tc>
                      <w:tcPr>
                        <w:tcW w:w="1082" w:type="pct"/>
                      </w:tcPr>
                      <w:p w:rsidR="00740CA7" w:rsidRPr="0064770B" w:rsidRDefault="00740C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'שמירה על הוראות</w:t>
                        </w:r>
                      </w:p>
                    </w:tc>
                  </w:tr>
                  <w:tr w:rsidR="00740CA7" w:rsidRPr="0064770B">
                    <w:trPr>
                      <w:jc w:val="right"/>
                    </w:trPr>
                    <w:tc>
                      <w:tcPr>
                        <w:tcW w:w="744" w:type="pct"/>
                      </w:tcPr>
                      <w:p w:rsidR="00740CA7" w:rsidRPr="0064770B" w:rsidRDefault="00740C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מעיף 17ב</w:t>
                        </w:r>
                      </w:p>
                    </w:tc>
                    <w:tc>
                      <w:tcPr>
                        <w:tcW w:w="4256" w:type="pct"/>
                        <w:gridSpan w:val="2"/>
                      </w:tcPr>
                      <w:p w:rsidR="00740CA7" w:rsidRPr="0064770B" w:rsidRDefault="00740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.אחרי סעיף 17א לחוק העיקרי יבוא:</w:t>
                        </w:r>
                      </w:p>
                    </w:tc>
                  </w:tr>
                  <w:tr w:rsidR="00740CA7" w:rsidRPr="0064770B">
                    <w:trPr>
                      <w:jc w:val="right"/>
                    </w:trPr>
                    <w:tc>
                      <w:tcPr>
                        <w:tcW w:w="744" w:type="pct"/>
                      </w:tcPr>
                      <w:p w:rsidR="00740CA7" w:rsidRDefault="00740CA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74" w:type="pct"/>
                      </w:tcPr>
                      <w:p w:rsidR="00740CA7" w:rsidRDefault="00740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17ב. (א) יושב-ראש ועדת הבחירות המרכזית לכנסת רשאי, לאחר</w:t>
                        </w:r>
                      </w:p>
                      <w:p w:rsidR="00740CA7" w:rsidRDefault="00740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שנתן לנוגע כדבר הזדמנות להביא טענותיו לפניו, ליתן צו המונע ביצוע</w:t>
                        </w:r>
                      </w:p>
                      <w:p w:rsidR="00740CA7" w:rsidRDefault="00740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מעשה עבירה לפי חוק זה או המשכתו (להלן-צו מניעה); לענין זה, "נוגע-</w:t>
                        </w:r>
                      </w:p>
                      <w:p w:rsidR="00740CA7" w:rsidRDefault="00740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בדבר" - חבר ועדת הבחירות המרכזית שהוא נציג הסיעה שתעמולה</w:t>
                        </w:r>
                      </w:p>
                      <w:p w:rsidR="00740CA7" w:rsidRDefault="00740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בעדה מהווה או עלולה להוות עבירה לפי חוק זה, או בא כוח רשימה לפי</w:t>
                        </w:r>
                      </w:p>
                      <w:p w:rsidR="00740CA7" w:rsidRDefault="00740C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59 לחוק הבחירות לכנסת [נוסח משולב], תשכ"ט-1969*?</w:t>
                        </w:r>
                      </w:p>
                    </w:tc>
                    <w:tc>
                      <w:tcPr>
                        <w:tcW w:w="1082" w:type="pct"/>
                      </w:tcPr>
                      <w:p w:rsidR="00740CA7" w:rsidRPr="0064770B" w:rsidRDefault="00740C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-צו מניעה</w:t>
                        </w:r>
                      </w:p>
                    </w:tc>
                  </w:tr>
                </w:tbl>
                <w:p w:rsidR="00740CA7" w:rsidRDefault="00740CA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083" o:spid="_x0000_s1028" type="#_x0000_t202" style="position:absolute;left:0;text-align:left;margin-left:171.85pt;margin-top:100.5pt;width:337.6pt;height:28.3pt;z-index:1;mso-position-horizontal-relative:page;mso-position-vertical-relative:page" stroked="f">
            <v:textbox style="mso-next-textbox:#_x0000_s31083" inset="0,0,0,0">
              <w:txbxContent>
                <w:p w:rsidR="00740CA7" w:rsidRPr="0064770B" w:rsidRDefault="00740CA7">
                  <w:pPr>
                    <w:pStyle w:val="OCRStyle1"/>
                    <w:ind w:left="137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 xml:space="preserve">חוק הבחירות (דרכי תעמולה) (תיקון מס' 4), תשל"ג--1973 </w:t>
                  </w:r>
                </w:p>
              </w:txbxContent>
            </v:textbox>
            <w10:wrap anchorx="page" anchory="page"/>
          </v:shape>
        </w:pict>
      </w:r>
    </w:p>
    <w:p w:rsidR="00740CA7" w:rsidRDefault="00740CA7">
      <w:pPr>
        <w:rPr>
          <w:rtl/>
        </w:rPr>
      </w:pPr>
      <w:r>
        <w:rPr>
          <w:rtl/>
        </w:rPr>
        <w:br w:type="page"/>
      </w:r>
    </w:p>
    <w:p w:rsidR="00740CA7" w:rsidRDefault="00000000">
      <w:pPr>
        <w:rPr>
          <w:rtl/>
        </w:rPr>
      </w:pPr>
      <w:r>
        <w:pict>
          <v:shape id="_x0000_s31084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1084" inset="0,0,0,0">
              <w:txbxContent>
                <w:p w:rsidR="00740CA7" w:rsidRDefault="00740CA7">
                  <w:r>
                    <w:rPr>
                      <w:rtl/>
                    </w:rPr>
                    <w:t>246                                          ספר החוקים 711                     ד' באב התשל"ג 02.08.1973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85" o:spid="_x0000_s1030" type="#_x0000_t202" style="position:absolute;left:0;text-align:left;margin-left:91.1pt;margin-top:402.85pt;width:396pt;height:78.4pt;z-index:9;mso-position-horizontal-relative:page;mso-position-vertical-relative:page" stroked="f">
            <v:textbox style="mso-next-textbox:#_x0000_s31085" inset="0,0,0,0">
              <w:txbxContent>
                <w:p w:rsidR="00740CA7" w:rsidRPr="00740CA7" w:rsidRDefault="00740CA7">
                  <w:pPr>
                    <w:pStyle w:val="OCRStyle2"/>
                    <w:ind w:left="418"/>
                  </w:pPr>
                  <w:r>
                    <w:rPr>
                      <w:rtl/>
                    </w:rPr>
                    <w:t>3 ע'ר 1936, תוס' 1/ עמ' 263.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86" o:spid="_x0000_s1031" type="#_x0000_t202" style="position:absolute;left:0;text-align:left;margin-left:121.95pt;margin-top:315.9pt;width:83.55pt;height:34.45pt;z-index:8;mso-position-horizontal-relative:page;mso-position-vertical-relative:page" stroked="f">
            <v:textbox style="mso-next-textbox:#_x0000_s31086" inset="0,0,0,0">
              <w:txbxContent>
                <w:p w:rsidR="00740CA7" w:rsidRDefault="00740CA7">
                  <w:pPr>
                    <w:pStyle w:val="OCRStyle2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740CA7" w:rsidRDefault="00740CA7">
                  <w:pPr>
                    <w:pStyle w:val="OCRStyle2"/>
                    <w:ind w:left="317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87" o:spid="_x0000_s1032" type="#_x0000_t202" style="position:absolute;left:0;text-align:left;margin-left:234.85pt;margin-top:316.9pt;width:96.45pt;height:34.45pt;z-index:7;mso-position-horizontal-relative:page;mso-position-vertical-relative:page" stroked="f">
            <v:textbox style="mso-next-textbox:#_x0000_s31087" inset="0,0,0,0">
              <w:txbxContent>
                <w:p w:rsidR="00740CA7" w:rsidRDefault="00740CA7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740CA7" w:rsidRDefault="00740CA7">
                  <w:pPr>
                    <w:pStyle w:val="OCRStyle2"/>
                    <w:ind w:left="27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88" o:spid="_x0000_s1033" type="#_x0000_t202" style="position:absolute;left:0;text-align:left;margin-left:368.3pt;margin-top:348.6pt;width:117pt;height:40.6pt;z-index:6;mso-position-horizontal-relative:page;mso-position-vertical-relative:page" stroked="f">
            <v:textbox style="mso-next-textbox:#_x0000_s31088" inset="0,0,0,0">
              <w:txbxContent>
                <w:p w:rsidR="00740CA7" w:rsidRDefault="00740CA7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740CA7" w:rsidRDefault="00740CA7">
                  <w:pPr>
                    <w:pStyle w:val="OCRStyle2"/>
                    <w:ind w:left="30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89" o:spid="_x0000_s1034" type="#_x0000_t202" style="position:absolute;left:0;text-align:left;margin-left:96.25pt;margin-top:99.9pt;width:466.5pt;height:208.3pt;z-index:5;mso-position-horizontal-relative:page;mso-position-vertical-relative:page" stroked="f">
            <v:textbox style="mso-next-textbox:#_x0000_s3108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8"/>
                    <w:gridCol w:w="1235"/>
                  </w:tblGrid>
                  <w:tr w:rsidR="00740CA7" w:rsidRPr="00740CA7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740CA7" w:rsidRDefault="00740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צו מניעה ניתן לערור בפני ועדת הבחירות המרכזית,</w:t>
                        </w:r>
                      </w:p>
                      <w:p w:rsidR="00740CA7" w:rsidRDefault="00740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סעיף 137 לחוק הבחירות לכנסת (נוסח משולב], תשכ"ט-</w:t>
                        </w:r>
                      </w:p>
                      <w:p w:rsidR="00740CA7" w:rsidRDefault="00740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1969, יחולו על הצו: אין כהגשת הערר כדי לעכב תחולת הצו וביצועו.</w:t>
                        </w:r>
                      </w:p>
                      <w:p w:rsidR="00740CA7" w:rsidRDefault="00740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דיני בזיון בית משפט והוראות סעיף 143 לפקודת החוק</w:t>
                        </w:r>
                      </w:p>
                      <w:p w:rsidR="00740CA7" w:rsidRDefault="00740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הפלילי, 31936, דין צו מניעה כדין צו של בית משפט.</w:t>
                        </w:r>
                      </w:p>
                      <w:p w:rsidR="00740CA7" w:rsidRDefault="00740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ייענש אדם לפי הוראות סעיף 17 אם עמד לדין בשל</w:t>
                        </w:r>
                      </w:p>
                      <w:p w:rsidR="00740CA7" w:rsidRDefault="00740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הפרת צו מניעה, ולא יועמד אדם לדין בשל הפרת צו מניעה אם הואשם</w:t>
                        </w:r>
                      </w:p>
                      <w:p w:rsidR="00740CA7" w:rsidRDefault="00740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אותו המעשה לפי סעיף 17."</w:t>
                        </w:r>
                      </w:p>
                      <w:p w:rsidR="00740CA7" w:rsidRDefault="00740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על אף האמור בסעיפים 6 ו-7 לחוק, מותר שימוש באות המייצגת רשימת מועמדים</w:t>
                        </w:r>
                      </w:p>
                      <w:p w:rsidR="00740CA7" w:rsidRDefault="00740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ובכינוי הרשימה, לרבות הארתם, בכפוף לאמור בסעיף 6 לחוק, בתקופה שמיום היכנס חוק</w:t>
                        </w:r>
                      </w:p>
                      <w:p w:rsidR="00740CA7" w:rsidRDefault="00740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לתקפו ועד יום הבחירות לכנסת השמינית.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740CA7" w:rsidRPr="00740CA7" w:rsidRDefault="00740C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</w:tr>
                </w:tbl>
                <w:p w:rsidR="00740CA7" w:rsidRDefault="00740CA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4770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91EDC8D-520F-4A61-ACFE-9EC134DBC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4770B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740CA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2008-04-07T11:54:00Z</dcterms:created>
  <dcterms:modified xsi:type="dcterms:W3CDTF">2008-04-07T11:54:00Z</dcterms:modified>
</cp:coreProperties>
</file>