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6A29" w:rsidRDefault="00626A29">
      <w:pPr>
        <w:rPr>
          <w:rtl/>
        </w:rPr>
      </w:pPr>
    </w:p>
    <w:p w:rsidR="00626A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10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107" inset="0,0,0,0">
              <w:txbxContent>
                <w:p w:rsidR="001F557C" w:rsidRDefault="001F557C">
                  <w:r>
                    <w:rPr>
                      <w:rtl/>
                    </w:rPr>
                    <w:t>96                                           ספר החוקים 317                     כ"ו באב התש"כ 19.08.1960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08" o:spid="_x0000_s1026" type="#_x0000_t202" style="position:absolute;left:0;text-align:left;margin-left:82.05pt;margin-top:681.35pt;width:380.95pt;height:68.5pt;z-index:3;mso-position-horizontal-relative:page;mso-position-vertical-relative:page" stroked="f">
            <v:textbox style="mso-next-textbox:#_x0000_s31108" inset="0,0,0,0">
              <w:txbxContent>
                <w:p w:rsidR="001F557C" w:rsidRDefault="001F557C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באב תש''ך (9 באוגוסט 1960); הצעת החוק ודברי הסבר נתפרסמו בה"ח 364, תשי''ט,</w:t>
                  </w:r>
                </w:p>
                <w:p w:rsidR="001F557C" w:rsidRDefault="001F557C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עמ' 78.</w:t>
                  </w:r>
                </w:p>
                <w:p w:rsidR="001F557C" w:rsidRPr="00626A29" w:rsidRDefault="001F557C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1 ס"ח 249, תשי''ח עמ' 103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09" o:spid="_x0000_s1027" type="#_x0000_t202" style="position:absolute;left:0;text-align:left;margin-left:85.4pt;margin-top:111.7pt;width:462.9pt;height:568.05pt;z-index:2;mso-position-horizontal-relative:page;mso-position-vertical-relative:page" stroked="f">
            <v:textbox style="mso-next-textbox:#_x0000_s3110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2"/>
                    <w:gridCol w:w="1375"/>
                  </w:tblGrid>
                  <w:tr w:rsidR="001F557C" w:rsidRPr="00626A29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1F557C" w:rsidRDefault="001F557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בית משפט רשאי, לפי בקשת מאמץ, ליתן צו אימוץ אם נוכח שהאימוץ יהיה לטובת</w:t>
                        </w:r>
                      </w:p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המאומץ.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אימוץ</w:t>
                        </w:r>
                      </w:p>
                    </w:tc>
                  </w:tr>
                  <w:tr w:rsidR="001F557C" w:rsidRPr="00626A29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אין אימוץ אלא באדם שלא מלאו לו 18 שבה.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המאומץ</w:t>
                        </w:r>
                      </w:p>
                    </w:tc>
                  </w:tr>
                  <w:tr w:rsidR="001F557C" w:rsidRPr="00626A29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אין אימוץ אלא על ידי איש ואשתו יחד; ואולם רשאי בית משפט ליתן צו אימוץ</w:t>
                        </w:r>
                      </w:p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למאמץ יחיד -</w:t>
                        </w:r>
                      </w:p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בן-זוגו הוא הורה המאומץ או אימץ אותו לפני כן;</w:t>
                        </w:r>
                      </w:p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המאמץ הוא מקרובי המאומץ ובלתי נשוי ומלאו לו 35 שנה.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המאמץ</w:t>
                        </w:r>
                      </w:p>
                    </w:tc>
                  </w:tr>
                  <w:tr w:rsidR="001F557C" w:rsidRPr="00626A29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אין מאמץ אלא מי שגדול מן המאומץ לפחות 18 שנה; ואולם למאמץ שבן-זוגו הוא</w:t>
                        </w:r>
                      </w:p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המאומץ או אימץ אותו לפני כן, רשאי בית משפט ליתן צו אימוץ אף כשאין הבדל</w:t>
                        </w:r>
                      </w:p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בגילים.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הבדל גיל</w:t>
                        </w:r>
                      </w:p>
                    </w:tc>
                  </w:tr>
                  <w:tr w:rsidR="001F557C" w:rsidRPr="00626A29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אין מאמץ אלא בן-דתו של המאומץ.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</w:t>
                        </w:r>
                      </w:p>
                    </w:tc>
                  </w:tr>
                  <w:tr w:rsidR="001F557C" w:rsidRPr="00626A29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לא יתן בית משפט צו אימוץ אלא אם היה המאומץ סמוך על שולחן המאמץ לפחות</w:t>
                        </w:r>
                      </w:p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לפני מתן הצו; תקופה זו תימנה מן היום שבו ניתנה הודעה לפקיד סעד כמש-</w:t>
                        </w:r>
                      </w:p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מעותו בחוק שירותי הסעד, תשי"ח-1195  1 (להלן - פקיד סעד), שהמאמץ קיבל את המאומץ</w:t>
                        </w:r>
                      </w:p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לביתו בכוונה לאמצו.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מבחן</w:t>
                        </w:r>
                      </w:p>
                    </w:tc>
                  </w:tr>
                  <w:tr w:rsidR="001F557C" w:rsidRPr="00626A29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היה המאומץ מסוגל להבין בדבר, לא יתן בית משפט צו אימוץ אלא אם נוכח שהמאומץ</w:t>
                        </w:r>
                      </w:p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רוצה באימוץ על ידי אותו מאמץ.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המאומץ</w:t>
                        </w:r>
                      </w:p>
                    </w:tc>
                  </w:tr>
                  <w:tr w:rsidR="001F557C" w:rsidRPr="00626A29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לא יתן בית משפט צו אימוץ אלא אם נוכח שהורי המאומץ מסכימים לאימוץ: אין</w:t>
                        </w:r>
                      </w:p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שההורים ידעו מיהו המאמץ.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ההורים</w:t>
                        </w:r>
                      </w:p>
                    </w:tc>
                  </w:tr>
                  <w:tr w:rsidR="001F557C" w:rsidRPr="00626A29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.הביע הורה המאומץ את הסכמתו לאימוץ באחת הדרכים שנקבעו לכך בתקנות, רשאי</w:t>
                        </w:r>
                      </w:p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לקבל זאת כהוכחה להסכמתו.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דרבי הסכמת</w:t>
                        </w:r>
                      </w:p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ההורים</w:t>
                        </w:r>
                      </w:p>
                    </w:tc>
                  </w:tr>
                  <w:tr w:rsidR="001F557C" w:rsidRPr="00626A29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רשאי בית משפט לפסול הסכמתו ישל הורה שניתנה לפני לידת המאומץ או שהושגה</w:t>
                        </w:r>
                      </w:p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באמצעים פסולים, ורשאי הוא להרשות להורה לחזור בו מהסכמתו כל עוד לא ניתן צו</w:t>
                        </w:r>
                      </w:p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האימוץ.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להסכמת</w:t>
                        </w:r>
                      </w:p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ההורים</w:t>
                        </w:r>
                      </w:p>
                    </w:tc>
                  </w:tr>
                  <w:tr w:rsidR="001F557C" w:rsidRPr="00626A29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רשאי בית משפט ליתן צו אימוץ אף ללא הסכמת הורה אם הוכח להנחת דעתו אחד</w:t>
                        </w:r>
                      </w:p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ההורה הפקיר את המאומץ או נמנע דרך קבע מלמלא חובותיו כלפיו;</w:t>
                        </w:r>
                      </w:p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ההורה אינו יכול להביע דעתו או שאין אפשרות סבירה לברר דעתו*,</w:t>
                        </w:r>
                      </w:p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סירובו של ההורה להסכים לאימוץ בא מתוך מניעים בלתי מוסריים או</w:t>
                        </w:r>
                      </w:p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בלתי חוקית.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מהסכמת</w:t>
                        </w:r>
                      </w:p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ההורים</w:t>
                        </w:r>
                      </w:p>
                    </w:tc>
                  </w:tr>
                  <w:tr w:rsidR="001F557C" w:rsidRPr="00626A29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היה למאומץ אפוטרופוס, לא יתן בית משפט צו אימוץ אלא לאחר שנתן לאפוטרופוס</w:t>
                        </w:r>
                      </w:p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נאותה להשמיע טענותיו ולהביא ראיותיו.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1F557C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</w:t>
                        </w:r>
                      </w:p>
                      <w:p w:rsidR="001F557C" w:rsidRPr="00626A29" w:rsidRDefault="001F5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</w:t>
                        </w:r>
                      </w:p>
                    </w:tc>
                  </w:tr>
                </w:tbl>
                <w:p w:rsidR="001F557C" w:rsidRDefault="001F55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110" o:spid="_x0000_s1028" type="#_x0000_t202" style="position:absolute;left:0;text-align:left;margin-left:181.6pt;margin-top:91.75pt;width:189.5pt;height:17.4pt;z-index:1;mso-position-horizontal-relative:page;mso-position-vertical-relative:page" stroked="f">
            <v:textbox style="mso-next-textbox:#_x0000_s31110" inset="0,0,0,0">
              <w:txbxContent>
                <w:p w:rsidR="001F557C" w:rsidRPr="00626A29" w:rsidRDefault="001F557C">
                  <w:pPr>
                    <w:pStyle w:val="OCRStyle1"/>
                    <w:ind w:left="7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אימוץ ילדים, תש"ך-1960 *</w:t>
                  </w:r>
                </w:p>
              </w:txbxContent>
            </v:textbox>
            <w10:wrap anchorx="page" anchory="page"/>
          </v:shape>
        </w:pict>
      </w:r>
    </w:p>
    <w:p w:rsidR="002E4CFF" w:rsidRDefault="002E4CFF">
      <w:pPr>
        <w:rPr>
          <w:rtl/>
        </w:rPr>
      </w:pPr>
      <w:r>
        <w:rPr>
          <w:rtl/>
        </w:rPr>
        <w:br w:type="page"/>
      </w:r>
    </w:p>
    <w:p w:rsidR="002E4CFF" w:rsidRDefault="00000000">
      <w:pPr>
        <w:rPr>
          <w:rtl/>
        </w:rPr>
      </w:pPr>
      <w:r>
        <w:pict>
          <v:shape id="_x0000_s3111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111" inset="0,0,0,0">
              <w:txbxContent>
                <w:p w:rsidR="001F557C" w:rsidRDefault="001F557C">
                  <w:r>
                    <w:rPr>
                      <w:rtl/>
                    </w:rPr>
                    <w:t>97                                           ספר החוקים 317                     כ"ו באב התש"כ 19.08.1960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12" o:spid="_x0000_s1030" type="#_x0000_t202" style="position:absolute;left:0;text-align:left;margin-left:341.75pt;margin-top:697.35pt;width:199.6pt;height:69.3pt;z-index:6;mso-position-horizontal-relative:page;mso-position-vertical-relative:page" stroked="f">
            <v:textbox style="mso-next-textbox:#_x0000_s31112" inset="0,0,0,0">
              <w:txbxContent>
                <w:p w:rsidR="001F557C" w:rsidRPr="002E4CFF" w:rsidRDefault="001F557C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2 ס"ח 187, תשט"ו/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13" o:spid="_x0000_s1031" type="#_x0000_t202" style="position:absolute;left:0;text-align:left;margin-left:96.8pt;margin-top:77.4pt;width:445.3pt;height:619.75pt;z-index:5;mso-position-horizontal-relative:page;mso-position-vertical-relative:page" stroked="f">
            <v:textbox style="mso-next-textbox:#_x0000_s31113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5"/>
                    <w:gridCol w:w="6980"/>
                  </w:tblGrid>
                  <w:tr w:rsidR="001F557C" w:rsidRPr="002E4CFF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האימוץ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האימוץ יוצר בין המאמץ לבית המאומץ אותן החובות והזכויות הקיימות בין הורים</w:t>
                        </w:r>
                      </w:p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ילדיהם, ומקנה למאמץ ביחס למאומץ אותן הסמכויות הנתונות להורים ביחס לילדיהם:</w:t>
                        </w:r>
                      </w:p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מפסיק את החובות והזכויות שבין המאומץ לבין הוריו ושאר קרוביו והסמכויות הנתונות</w:t>
                        </w:r>
                      </w:p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ביחס אליו: ואולם -</w:t>
                        </w:r>
                      </w:p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רשאי בית משפט לצמצם בצו האימוץ את התוצאות האמורות:</w:t>
                        </w:r>
                      </w:p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האימוץ אינו פוגע בדיני איסור והיתר לעניני נישואין וגירושין.</w:t>
                        </w:r>
                      </w:p>
                    </w:tc>
                  </w:tr>
                  <w:tr w:rsidR="001F557C" w:rsidRPr="002E4CFF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תקפו</w:t>
                        </w:r>
                      </w:p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האימוץ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תוצאות האימוץ חלות מיום מתן צו האימוץ, אם לא קבע בית המשפט בצו האימוץ</w:t>
                        </w:r>
                      </w:p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שתוצאותיו, כולן או מקצתן, יחולו מיום אחר.</w:t>
                        </w:r>
                      </w:p>
                    </w:tc>
                  </w:tr>
                  <w:tr w:rsidR="001F557C" w:rsidRPr="002E4CFF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ביניים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הוגשה בקשת אימוץ ונוכח בית המשפט שנתמלאו התנאים האמורים בסעיפים 2 עד</w:t>
                        </w:r>
                      </w:p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7 עד 12, רשאי הוא, בצו ביניים, להעמיד את המאומץ ברשות המאמץ עד להחלטה</w:t>
                        </w:r>
                      </w:p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בבקשת האימוץ, אך לא יותר מלששנתיים: החליט בית משפט לעשות כן, יקבע בצו הביניים</w:t>
                        </w:r>
                      </w:p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החובות והזכויות שבין המאמץ לבין המאומץ ואת סמכויות המאמץ ביחס למאומץ לתקופה</w:t>
                        </w:r>
                      </w:p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זו. צו לפי סעיף זה ניתן לשינוי ולביטול על ידי בית המשפט בכל עת ובאותם התנאים</w:t>
                        </w:r>
                      </w:p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והתוצאות שיקבע בית המשפט.</w:t>
                        </w:r>
                      </w:p>
                    </w:tc>
                  </w:tr>
                  <w:tr w:rsidR="001F557C" w:rsidRPr="002E4CFF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צו אימוץ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רשאי בית משפט לבטל צו אימוץ על סמך נסיבות שלא היו ידועות או לא היו קיימות</w:t>
                        </w:r>
                      </w:p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מתן הצו, אם נוכח שמן הראוי לעשות כן ושטובת המאומץ מחייבת זאת. הוראות</w:t>
                        </w:r>
                      </w:p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אינן באות לגרוע מסמכות בית משפט לבטל צוויו לפי כל דין אחר.</w:t>
                        </w:r>
                      </w:p>
                    </w:tc>
                  </w:tr>
                  <w:tr w:rsidR="001F557C" w:rsidRPr="002E4CFF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המטול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ביטולו של צו אימוץ מנתק את החובות והזכויות שבין המאמץ לבין המאומץ ואת</w:t>
                        </w:r>
                      </w:p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המאמץ ביחס למאומץ ומחזיר את החובות והזכויות שבין המאומץ לבין הוריו</w:t>
                        </w:r>
                      </w:p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ושאר קרוביו ואת סמכויותיהם ביחס אליו, מן היום שנקבע לכך בצו הביטול: ואולם רשאי</w:t>
                        </w:r>
                      </w:p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משפט, בצו הביטול, להורות הוראה אחרת, אם דרך כלל ואם לענין זכות, חובה או</w:t>
                        </w:r>
                      </w:p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פלונית, ולצוות מה ייעשה במאומץ לאחר ביטול האימוץ.</w:t>
                        </w:r>
                      </w:p>
                    </w:tc>
                  </w:tr>
                  <w:tr w:rsidR="001F557C" w:rsidRPr="002E4CFF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 הדיון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דיון לפי חוק זה יהיה בדלתיים סגורות זולת אם ראה בית משפט לקיימו בפומבי?</w:t>
                        </w:r>
                      </w:p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בית המשפט להרשות לאדם או לסוגי בני-אדם להיות נוכחים בשעת הדיון,</w:t>
                        </w:r>
                      </w:p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מקצתו.</w:t>
                        </w:r>
                      </w:p>
                    </w:tc>
                  </w:tr>
                  <w:tr w:rsidR="001F557C" w:rsidRPr="002E4CFF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תסקיר פקיד סעד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לא יתן בית משפט צו לפי חוק זה אלא לאחר שקיבל תסקיר בכתב מאת פקיד סעד.</w:t>
                        </w:r>
                      </w:p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הסעיפים 3 עד 6 לחוק הסעד (סדרי דין בעניני קטינים, חולי נפש ונעדרים),</w:t>
                        </w:r>
                      </w:p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תשט"ו- 1955,  2, יחולו בשינויים המחוייבים לפי הענין.</w:t>
                        </w:r>
                      </w:p>
                    </w:tc>
                  </w:tr>
                  <w:tr w:rsidR="001F557C" w:rsidRPr="002E4CFF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</w:t>
                        </w:r>
                      </w:p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הדיון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רשאי בית משפט, בכל עת ואף אם לא נתבקש לכך, למנות למאומץ אפוטרופוס</w:t>
                        </w:r>
                      </w:p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הדיון לפי חוק זה.</w:t>
                        </w:r>
                      </w:p>
                    </w:tc>
                  </w:tr>
                  <w:tr w:rsidR="001F557C" w:rsidRPr="002E4CFF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אימוצים בפועל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היו קיימים בתקופת שלוש שנים לפחות יחסי אימוץ למעשה בין אדם שבאותה תקופה</w:t>
                        </w:r>
                      </w:p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מרם מלאו לו 18 שנה לבין אדם שהיה כשיר לאמצו לפי הוראות חוק זה, ויחסים אלה עודם</w:t>
                        </w:r>
                      </w:p>
                      <w:p w:rsidR="001F557C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קיימים, רשאי בית משפט ליתן צו אימוץ אף אם למאומץ מלאו בינתיים 18 שנה, ובלבד</w:t>
                        </w:r>
                      </w:p>
                      <w:p w:rsidR="001F557C" w:rsidRPr="002E4CFF" w:rsidRDefault="001F5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שהבקשה לכך הוגשה תוך שנה מתחילת חוק זה.</w:t>
                        </w:r>
                      </w:p>
                    </w:tc>
                  </w:tr>
                </w:tbl>
                <w:p w:rsidR="001F557C" w:rsidRDefault="001F557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643B2" w:rsidRDefault="009643B2">
      <w:pPr>
        <w:rPr>
          <w:rtl/>
        </w:rPr>
      </w:pPr>
      <w:r>
        <w:rPr>
          <w:rtl/>
        </w:rPr>
        <w:br w:type="page"/>
      </w:r>
    </w:p>
    <w:p w:rsidR="009643B2" w:rsidRDefault="00000000">
      <w:pPr>
        <w:rPr>
          <w:rtl/>
        </w:rPr>
      </w:pPr>
      <w:r>
        <w:pict>
          <v:shape id="_x0000_s31114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1114" inset="0,0,0,0">
              <w:txbxContent>
                <w:p w:rsidR="001F557C" w:rsidRDefault="001F557C">
                  <w:r>
                    <w:rPr>
                      <w:rtl/>
                    </w:rPr>
                    <w:t>98                                           ספר החוקים 317                     כ"ו באב התש"כ 19.08.1960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15" o:spid="_x0000_s1033" type="#_x0000_t202" style="position:absolute;left:0;text-align:left;margin-left:91.25pt;margin-top:728.4pt;width:196.4pt;height:20.8pt;z-index:10;mso-position-horizontal-relative:page;mso-position-vertical-relative:page" stroked="f">
            <v:textbox style="mso-next-textbox:#_x0000_s31115" inset="0,0,0,0">
              <w:txbxContent>
                <w:p w:rsidR="001F557C" w:rsidRDefault="001F557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116" o:spid="_x0000_s1034" type="#_x0000_t202" style="position:absolute;left:0;text-align:left;margin-left:335.15pt;margin-top:688.4pt;width:137.2pt;height:28.3pt;z-index:9;mso-position-horizontal-relative:page;mso-position-vertical-relative:page" stroked="f">
            <v:textbox style="mso-next-textbox:#_x0000_s31116" inset="0,0,0,0">
              <w:txbxContent>
                <w:p w:rsidR="001F557C" w:rsidRDefault="001F557C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3 ס"ח  200, תשט"ז, עמ' 40.</w:t>
                  </w:r>
                </w:p>
                <w:p w:rsidR="001F557C" w:rsidRPr="009643B2" w:rsidRDefault="001F557C">
                  <w:pPr>
                    <w:pStyle w:val="OCRStyle3"/>
                    <w:ind w:left="277"/>
                  </w:pPr>
                  <w:r>
                    <w:rPr>
                      <w:rtl/>
                    </w:rPr>
                    <w:t>4 ס"ח 233, תשיי"ז, עמ' 148.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17" o:spid="_x0000_s1035" type="#_x0000_t202" style="position:absolute;left:0;text-align:left;margin-left:85.5pt;margin-top:68.65pt;width:461.75pt;height:618.95pt;z-index:8;mso-position-horizontal-relative:page;mso-position-vertical-relative:page" stroked="f">
            <v:textbox style="mso-next-textbox:#_x0000_s3111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300"/>
                  </w:tblGrid>
                  <w:tr w:rsidR="001F557C" w:rsidRPr="009643B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נוכח בית משפט, שהדבר יהיה לטובת המאומץ, רשאי הוא' בנסיבות מיוחדות ומט-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עמים שיציין בהחלטתו' לסטות מסייגים אלה: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קירבה למאומץ וגיל המאמץ לפי סעיף 3 (2);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הבדל גיל לפי סעיף 4;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אורך תקופת המבחן לפי סעיף 6?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תקופת השנתיים לפי סעיף 15;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תקופת שלוש השנים לפי סעיף 21.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לסטות</w:t>
                        </w:r>
                      </w:p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מסייגים</w:t>
                        </w:r>
                      </w:p>
                    </w:tc>
                  </w:tr>
                  <w:tr w:rsidR="001F557C" w:rsidRPr="009643B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 בית המשפט המוסמך לענין חוק זה הוא בית המשפט המחוזי.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</w:t>
                        </w:r>
                      </w:p>
                    </w:tc>
                  </w:tr>
                  <w:tr w:rsidR="001F557C" w:rsidRPr="009643B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על אף האמור בסעיף 23 מוסמך לענין חוק זה גם בית דין דתי כמשמעותו בחוק בתי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דתיים (הזמנה לבית דין), תשט"ז-1956  3, והוא כשנתמלאו שנים אלה: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ההורים והמאמצים הסכימו בכתב לסמכות שיפוטו של אותו בית דין: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הסכמת ההורים לענין סעיף זה יחולו הוראות סעיף 9 בשינויים המחוייבים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הענין;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המאומץ הסכים בכתב לסמכות שיפוטו של אותו בית דין; לא היה המאומץ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להבין בדבר' או היה למטה מגיל 13 שנה' דרושה הסכמתם של פקיד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והיועץ המשפטי לממשלה.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דתי הדן לפי סעיף זה' יחולו עליו הוראות הסעיפים 1 עד 22' 25 ו-31' וכל מקום</w:t>
                        </w:r>
                      </w:p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שמדובר בו בבית משפט יראו כאילו מדובר בו בבית דין דתי.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מוסמך</w:t>
                        </w:r>
                      </w:p>
                    </w:tc>
                  </w:tr>
                  <w:tr w:rsidR="001F557C" w:rsidRPr="009643B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 בית משפט ישראלי מוסמך לענין חוק זה כשהמאמץ הוא תושב ישראל.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מבחינה</w:t>
                        </w:r>
                      </w:p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לאומית</w:t>
                        </w:r>
                      </w:p>
                    </w:tc>
                  </w:tr>
                  <w:tr w:rsidR="001F557C" w:rsidRPr="009643B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.כל צו אימוץ, לרבות צו שסעיף 28 חל עליו, וכל ליטול של צו אימוץ יירשמו בפנקס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שינוהל בידי רשם שיתמנה לכך על ידי שר המשפטים; פרטי הרישום וצורתו ייקבעו</w:t>
                        </w:r>
                      </w:p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פגקס אימוצים</w:t>
                        </w:r>
                      </w:p>
                    </w:tc>
                  </w:tr>
                  <w:tr w:rsidR="001F557C" w:rsidRPr="009643B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פנקס האימוצים לא יהא פתוח לעיון; ואולם רשאי לעיין בו -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היועץ המשפטי לממשלה או בא כוחו;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רושם נישואין או אדם אחר שהוסמך לכך, כשהעיון דרוש למילוי תפקיד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רשמי:</w:t>
                        </w:r>
                      </w:p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מאומץ לאחר שמלאו לו 18 שנה.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בפנקס</w:t>
                        </w:r>
                      </w:p>
                    </w:tc>
                  </w:tr>
                  <w:tr w:rsidR="001F557C" w:rsidRPr="009643B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 מי שאומץ לפי צו של בית המשפט או בית דין דתי לפני תחילתו של חוק זה, רואים</w:t>
                        </w:r>
                      </w:p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אומץ לפי חוק זה.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צווי אימוץ</w:t>
                        </w:r>
                      </w:p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קודמים</w:t>
                        </w:r>
                      </w:p>
                    </w:tc>
                  </w:tr>
                  <w:tr w:rsidR="001F557C" w:rsidRPr="009643B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 המציע או נותן, וכן המבקש או מקבל תמורה בכסף או בשווה כסף בעד אימוץ או בעד</w:t>
                        </w:r>
                      </w:p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תיווך לאימוץ, שלא ברשות בית המשפט' דינו - מאסר שלוש שנים.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תמורה</w:t>
                        </w:r>
                      </w:p>
                    </w:tc>
                  </w:tr>
                  <w:tr w:rsidR="001F557C" w:rsidRPr="009643B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 המפרסם, בלי רשות בית המשפט, שמם של מאמץ או של מאומץ או של הורו' כולל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שמם של אלה שביחס אליהם הוגשה בקשה לפי חוק זה לבית המשפט' והמפרסם דבר אחר</w:t>
                        </w:r>
                      </w:p>
                      <w:p w:rsidR="001F557C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 להביא לזיהוים, דינו - מאסר שלושה חדשים. סעיף זה אינו בא לגרוע מהוראות</w:t>
                        </w:r>
                      </w:p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40 לחוק בתי המשפט, תשי"ז-.1957  4.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F557C" w:rsidRPr="009643B2" w:rsidRDefault="001F5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פרסום</w:t>
                        </w:r>
                      </w:p>
                    </w:tc>
                  </w:tr>
                </w:tbl>
                <w:p w:rsidR="001F557C" w:rsidRDefault="001F557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173AD" w:rsidRDefault="001173AD">
      <w:pPr>
        <w:rPr>
          <w:rtl/>
        </w:rPr>
      </w:pPr>
      <w:r>
        <w:rPr>
          <w:rtl/>
        </w:rPr>
        <w:br w:type="page"/>
      </w:r>
    </w:p>
    <w:p w:rsidR="001173AD" w:rsidRDefault="00000000">
      <w:pPr>
        <w:rPr>
          <w:rtl/>
        </w:rPr>
      </w:pPr>
      <w:r>
        <w:pict>
          <v:shape id="_x0000_s31118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1118" inset="0,0,0,0">
              <w:txbxContent>
                <w:p w:rsidR="001F557C" w:rsidRDefault="001F557C">
                  <w:r>
                    <w:rPr>
                      <w:rtl/>
                    </w:rPr>
                    <w:t>99                                           ספר החוקים 317                     כ"ו באב התש"כ 19.08.1960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19" o:spid="_x0000_s1037" type="#_x0000_t202" style="position:absolute;left:0;text-align:left;margin-left:365pt;margin-top:642.7pt;width:174.65pt;height:108.1pt;z-index:16;mso-position-horizontal-relative:page;mso-position-vertical-relative:page" stroked="f">
            <v:textbox style="mso-next-textbox:#_x0000_s31119" inset="0,0,0,0">
              <w:txbxContent>
                <w:p w:rsidR="001F557C" w:rsidRDefault="001F557C">
                  <w:pPr>
                    <w:pStyle w:val="OCRStyle4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5 חוקי א"י, כרך א', פרק נ"ד, עמ' 650</w:t>
                  </w:r>
                </w:p>
                <w:p w:rsidR="001F557C" w:rsidRDefault="001F557C">
                  <w:pPr>
                    <w:pStyle w:val="OCRStyle4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6 ע"ר 1947, תוס' 1 מס',1568   עמ' 77.</w:t>
                  </w:r>
                </w:p>
                <w:p w:rsidR="001F557C" w:rsidRDefault="001F557C">
                  <w:pPr>
                    <w:pStyle w:val="OCRStyle4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7 סייח 10, תש"ט, עמ' .41</w:t>
                  </w:r>
                </w:p>
                <w:p w:rsidR="001F557C" w:rsidRDefault="001F557C">
                  <w:pPr>
                    <w:pStyle w:val="OCRStyle4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8 ס"ח 247, תשי"ח, עמ' .86</w:t>
                  </w:r>
                </w:p>
                <w:p w:rsidR="001F557C" w:rsidRDefault="001F557C">
                  <w:pPr>
                    <w:pStyle w:val="OCRStyle4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9 ס"ח 279, תשי"ט, עמ' ,86</w:t>
                  </w:r>
                </w:p>
                <w:p w:rsidR="001F557C" w:rsidRPr="001173AD" w:rsidRDefault="001F557C">
                  <w:pPr>
                    <w:pStyle w:val="OCRStyle4"/>
                    <w:ind w:left="281"/>
                  </w:pPr>
                  <w:r>
                    <w:rPr>
                      <w:rtl/>
                    </w:rPr>
                    <w:t>10 ס"ח 208, תשי''ט, עמ' 366.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20" o:spid="_x0000_s1038" type="#_x0000_t202" style="position:absolute;left:0;text-align:left;margin-left:181.85pt;margin-top:390.65pt;width:87.3pt;height:45.75pt;z-index:15;mso-position-horizontal-relative:page;mso-position-vertical-relative:page" stroked="f">
            <v:textbox style="mso-next-textbox:#_x0000_s31120" inset="0,0,0,0">
              <w:txbxContent>
                <w:p w:rsidR="001F557C" w:rsidRDefault="001F557C">
                  <w:pPr>
                    <w:pStyle w:val="OCRStyle4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1F557C" w:rsidRDefault="001F557C">
                  <w:pPr>
                    <w:pStyle w:val="OCRStyle4"/>
                    <w:ind w:left="28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21" o:spid="_x0000_s1039" type="#_x0000_t202" style="position:absolute;left:0;text-align:left;margin-left:295.9pt;margin-top:389.85pt;width:108.9pt;height:45.75pt;z-index:14;mso-position-horizontal-relative:page;mso-position-vertical-relative:page" stroked="f">
            <v:textbox style="mso-next-textbox:#_x0000_s31121" inset="0,0,0,0">
              <w:txbxContent>
                <w:p w:rsidR="001F557C" w:rsidRDefault="001F557C">
                  <w:pPr>
                    <w:pStyle w:val="OCRStyle4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F557C" w:rsidRDefault="001F557C">
                  <w:pPr>
                    <w:pStyle w:val="OCRStyle4"/>
                    <w:ind w:left="5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22" o:spid="_x0000_s1040" type="#_x0000_t202" style="position:absolute;left:0;text-align:left;margin-left:445.55pt;margin-top:431.45pt;width:97.4pt;height:39.8pt;z-index:13;mso-position-horizontal-relative:page;mso-position-vertical-relative:page" stroked="f">
            <v:textbox style="mso-next-textbox:#_x0000_s31122" inset="0,0,0,0">
              <w:txbxContent>
                <w:p w:rsidR="001F557C" w:rsidRDefault="001F557C">
                  <w:pPr>
                    <w:pStyle w:val="OCRStyle4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F557C" w:rsidRDefault="001F557C">
                  <w:pPr>
                    <w:pStyle w:val="OCRStyle4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23" o:spid="_x0000_s1041" type="#_x0000_t202" style="position:absolute;left:0;text-align:left;margin-left:92.95pt;margin-top:76.25pt;width:461.75pt;height:307.7pt;z-index:12;mso-position-horizontal-relative:page;mso-position-vertical-relative:page" stroked="f">
            <v:textbox style="mso-next-textbox:#_x0000_s3112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7"/>
                    <w:gridCol w:w="7157"/>
                  </w:tblGrid>
                  <w:tr w:rsidR="001F557C" w:rsidRPr="001173A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1F557C" w:rsidRPr="001173AD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 תלויות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1F557C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בקשות בענייני אימוץ שהיו תלויות ועומדות בבית משפט ערב תחילתו של חוק זה,</w:t>
                        </w:r>
                      </w:p>
                      <w:p w:rsidR="001F557C" w:rsidRPr="001173AD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ידון בהן בית המשפט לפי חוק זה.</w:t>
                        </w:r>
                      </w:p>
                    </w:tc>
                  </w:tr>
                  <w:tr w:rsidR="001F557C" w:rsidRPr="001173A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1F557C" w:rsidRPr="001173AD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1F557C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חיקוק ומסמך שמדובר בהם בילדו של אדם - ילד שאימץ במשמע: מסמך שמדובר</w:t>
                        </w:r>
                      </w:p>
                      <w:p w:rsidR="001F557C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בהורו של אדם - מאמצו במשמען והוא כשאין כוונה אחרת מפורשת או משתמעת.</w:t>
                        </w:r>
                      </w:p>
                      <w:p w:rsidR="001F557C" w:rsidRPr="001173AD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לא יחול אלא על חיקוק ומסמך שניתנו אחרי תחילתו של חוק זה,</w:t>
                        </w:r>
                      </w:p>
                    </w:tc>
                  </w:tr>
                  <w:tr w:rsidR="001F557C" w:rsidRPr="001173A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1F557C" w:rsidRPr="001173AD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חוקים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1F557C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.(1) בסעיפים 3 עד 5 לפקודת העדות5, "ילד" - לרבות מאומץ, ו"הורה" -</w:t>
                        </w:r>
                      </w:p>
                      <w:p w:rsidR="001F557C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מאמץ?</w:t>
                        </w:r>
                      </w:p>
                      <w:p w:rsidR="001F557C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בחוקים הבאים, "ילד" - לרבות מאומץ:</w:t>
                        </w:r>
                      </w:p>
                      <w:p w:rsidR="001F557C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הכנסה, 1947 6, סעיף 15ג(א)(1);</w:t>
                        </w:r>
                      </w:p>
                      <w:p w:rsidR="001F557C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שכר חברי הכנסת, תש"ט-  1949, סעיף 3 (ב);</w:t>
                        </w:r>
                      </w:p>
                      <w:p w:rsidR="001F557C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הגנת השכר, תשי"ח-1958, 8, סעיף 6:</w:t>
                        </w:r>
                      </w:p>
                      <w:p w:rsidR="001F557C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שירות המדינה (מינויים), תשי"ט-1959,  9, סעיף 35;</w:t>
                        </w:r>
                      </w:p>
                      <w:p w:rsidR="001F557C" w:rsidRPr="001173AD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שירות מילואים (תגמולים), תשי"ט-1959 (נוסח משולב)10, סעיף 5 (ב) (3).</w:t>
                        </w:r>
                      </w:p>
                    </w:tc>
                  </w:tr>
                  <w:tr w:rsidR="001F557C" w:rsidRPr="001173A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1F557C" w:rsidRPr="001173AD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דין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1F557C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בסימן 51(1) לדבר המלך במועצתו לארץ-ישראל, 1947-1922, תימחק המלה</w:t>
                        </w:r>
                      </w:p>
                      <w:p w:rsidR="001F557C" w:rsidRPr="001173AD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"ואימוצם".</w:t>
                        </w:r>
                      </w:p>
                    </w:tc>
                  </w:tr>
                  <w:tr w:rsidR="001F557C" w:rsidRPr="001173A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1F557C" w:rsidRPr="001173AD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1F557C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שר המשפטים ממונה על ביצוע חוק זה והוא רשאי, בהתייעצות עם שר הסעד, להתקין</w:t>
                        </w:r>
                      </w:p>
                      <w:p w:rsidR="001F557C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לביצועו, לרבות תקנות להבטחת סודיותם של עניני אימוץ. שר הסעד יסמיך מבין</w:t>
                        </w:r>
                      </w:p>
                      <w:p w:rsidR="001F557C" w:rsidRPr="001173AD" w:rsidRDefault="001F55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פקידי הסעד פקיד סעד ראשי ופקידי סעד לענין חוק זה,</w:t>
                        </w:r>
                      </w:p>
                    </w:tc>
                  </w:tr>
                </w:tbl>
                <w:p w:rsidR="001F557C" w:rsidRDefault="001F557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F557C" w:rsidRDefault="001F557C">
      <w:pPr>
        <w:rPr>
          <w:rtl/>
        </w:rPr>
      </w:pPr>
      <w:r>
        <w:rPr>
          <w:rtl/>
        </w:rPr>
        <w:br w:type="page"/>
      </w:r>
    </w:p>
    <w:p w:rsidR="001F557C" w:rsidRDefault="00000000">
      <w:pPr>
        <w:rPr>
          <w:rtl/>
        </w:rPr>
      </w:pPr>
      <w:r>
        <w:pict>
          <v:shape id="_x0000_s31124" o:spid="_x0000_s1042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1124" inset="0,0,0,0">
              <w:txbxContent>
                <w:p w:rsidR="001F557C" w:rsidRDefault="001F557C">
                  <w:r>
                    <w:rPr>
                      <w:rtl/>
                    </w:rPr>
                    <w:t>100                                          ספר החוקים 317                     כ"ו באב התש"כ 19.08.1960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25" o:spid="_x0000_s1043" type="#_x0000_t202" style="position:absolute;left:0;text-align:left;margin-left:87.4pt;margin-top:700.25pt;width:159.4pt;height:21.2pt;z-index:18;mso-position-horizontal-relative:page;mso-position-vertical-relative:page" stroked="f">
            <v:textbox style="mso-next-textbox:#_x0000_s31125" inset="0,0,0,0">
              <w:txbxContent>
                <w:p w:rsidR="001F557C" w:rsidRDefault="001F557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26A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EFCFBC-0E7F-4DFE-841E-A02D1E306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6A2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E4CF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643B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1173A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F557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2008-04-06T19:34:00Z</dcterms:created>
  <dcterms:modified xsi:type="dcterms:W3CDTF">2008-04-06T19:34:00Z</dcterms:modified>
</cp:coreProperties>
</file>