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39D3" w:rsidRDefault="003F39D3">
      <w:pPr>
        <w:rPr>
          <w:rtl/>
        </w:rPr>
      </w:pPr>
    </w:p>
    <w:p w:rsidR="003F39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213" inset="0,0,0,0">
              <w:txbxContent>
                <w:p w:rsidR="00F5112D" w:rsidRDefault="00F5112D">
                  <w:r>
                    <w:rPr>
                      <w:rtl/>
                    </w:rPr>
                    <w:t>26                                          ספר החוקים 1099                    י' בטבת התשמ"ד 16.12.1983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14" o:spid="_x0000_s1026" type="#_x0000_t202" style="position:absolute;left:0;text-align:left;margin-left:95.6pt;margin-top:211.55pt;width:400.15pt;height:525.3pt;z-index:3;mso-wrap-style:none;mso-position-horizontal-relative:page;mso-position-vertical-relative:page" stroked="f">
            <v:textbox style="mso-next-textbox:#_x0000_s31214" inset="0,0,0,0">
              <w:txbxContent>
                <w:p w:rsidR="00F5112D" w:rsidRDefault="00F5112D">
                  <w:pPr>
                    <w:pStyle w:val="OCRStyle1"/>
                    <w:ind w:left="334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F5112D" w:rsidRDefault="00F5112D">
                  <w:pPr>
                    <w:pStyle w:val="OCRStyle1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F5112D" w:rsidRDefault="00F5112D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צו מעצר</w:t>
                  </w:r>
                </w:p>
                <w:p w:rsidR="00F5112D" w:rsidRDefault="00F5112D">
                  <w:pPr>
                    <w:pStyle w:val="OCRStyle1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1. (א) מפקד בצבא-הגנה לישראל שדרגתו אלוף לפחות (להלן - מפקד),</w:t>
                  </w:r>
                </w:p>
                <w:p w:rsidR="00F5112D" w:rsidRDefault="00F5112D">
                  <w:pPr>
                    <w:pStyle w:val="OCRStyle1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שיש לו יסוד סביר להניח שטעמי בטחון המדינה או בטחון הציבור מחייבים</w:t>
                  </w:r>
                </w:p>
                <w:p w:rsidR="00F5112D" w:rsidRDefault="00F5112D">
                  <w:pPr>
                    <w:pStyle w:val="OCRStyle1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החזקתו במעצר של אדם שאינו אזרח ישראלי או תושב ישראל אשר נעצר</w:t>
                  </w:r>
                </w:p>
                <w:p w:rsidR="00F5112D" w:rsidRDefault="00F5112D">
                  <w:pPr>
                    <w:pStyle w:val="OCRStyle1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בלבנון ונמצא בישראל, רשאי להורות בצו בחתימת ידו על מעצרו של אדם</w:t>
                  </w:r>
                </w:p>
                <w:p w:rsidR="00F5112D" w:rsidRDefault="00F5112D">
                  <w:pPr>
                    <w:pStyle w:val="OCRStyle1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זה לתקופה שתצויין בצו ושלא תעלה על שלושה חדשים (להלן - צו מעצר).</w:t>
                  </w:r>
                </w:p>
                <w:p w:rsidR="00F5112D" w:rsidRDefault="00F5112D">
                  <w:pPr>
                    <w:pStyle w:val="OCRStyle1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(ב) היה למפקד יסוד סביר להניח ערב פקיעתו של צו לפי תקנת</w:t>
                  </w:r>
                </w:p>
                <w:p w:rsidR="00F5112D" w:rsidRDefault="00F5112D">
                  <w:pPr>
                    <w:pStyle w:val="OCRStyle1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משנה (א) (להלן - צו המעצר המקורי), שטעמי בטחון המדינה או בטחון</w:t>
                  </w:r>
                </w:p>
                <w:p w:rsidR="00F5112D" w:rsidRDefault="00F5112D">
                  <w:pPr>
                    <w:pStyle w:val="OCRStyle1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הציבור עדיין מחייבים את החזקתו של העציר במעצר, רשאי הוא ב4ו</w:t>
                  </w:r>
                </w:p>
                <w:p w:rsidR="00F5112D" w:rsidRDefault="00F5112D">
                  <w:pPr>
                    <w:pStyle w:val="OCRStyle1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בחתימת ידו, להורות מפעם לפעם על הארכת תקפו של צו המעצר המקורי</w:t>
                  </w:r>
                </w:p>
                <w:p w:rsidR="00F5112D" w:rsidRDefault="00F5112D">
                  <w:pPr>
                    <w:pStyle w:val="OCRStyle1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לתקופה שלא תעלה על שלושה חדשים, ודין צו ההארכה כדין צו המעצר</w:t>
                  </w:r>
                </w:p>
                <w:p w:rsidR="00F5112D" w:rsidRDefault="00F5112D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המקורי.</w:t>
                  </w:r>
                </w:p>
                <w:p w:rsidR="00F5112D" w:rsidRDefault="00F5112D">
                  <w:pPr>
                    <w:pStyle w:val="OCRStyle1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(ג) צו מעצר יכול שיינתן שלא במעמד האדם שעל מעצרו הוא חל.</w:t>
                  </w:r>
                </w:p>
                <w:p w:rsidR="00F5112D" w:rsidRDefault="00F5112D">
                  <w:pPr>
                    <w:pStyle w:val="OCRStyle1"/>
                    <w:ind w:left="1577"/>
                    <w:rPr>
                      <w:rtl/>
                    </w:rPr>
                  </w:pPr>
                  <w:r>
                    <w:rPr>
                      <w:rtl/>
                    </w:rPr>
                    <w:t>(ד) צו מעצר יבוצע בידי שוטר או בידי חייל כמשמעותו בסעיף 1</w:t>
                  </w:r>
                </w:p>
                <w:p w:rsidR="00F5112D" w:rsidRDefault="00F5112D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לחוק השיפוט הצבאי, התשט"ו-21955, וישמש אסמכתה לחבישתו של העציר</w:t>
                  </w:r>
                </w:p>
                <w:p w:rsidR="00F5112D" w:rsidRDefault="00F5112D">
                  <w:pPr>
                    <w:pStyle w:val="OCRStyle1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במקום מעצר שנקבע -בצו המעצר או בצו מעצר מאוחר יותר, בתנאים שקבע</w:t>
                  </w:r>
                </w:p>
                <w:p w:rsidR="00F5112D" w:rsidRDefault="00F5112D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שר המשפטים בתקנות לפי סעיף 3 לחוק סמכויות שעת חירום (מעצרים),</w:t>
                  </w:r>
                </w:p>
                <w:p w:rsidR="00F5112D" w:rsidRDefault="00F5112D">
                  <w:pPr>
                    <w:pStyle w:val="OCRStyle1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התשל"ט-1979 3.</w:t>
                  </w:r>
                </w:p>
                <w:p w:rsidR="00F5112D" w:rsidRDefault="00F5112D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בקורת על צו מעצר</w:t>
                  </w:r>
                </w:p>
                <w:p w:rsidR="00F5112D" w:rsidRDefault="00F5112D">
                  <w:pPr>
                    <w:pStyle w:val="OCRStyle1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2. (א) שר המשפטים ימנה ועדת ערר או ועדות ערר לענין תקנות אלה;</w:t>
                  </w:r>
                </w:p>
                <w:p w:rsidR="00F5112D" w:rsidRDefault="00F5112D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ועדת ערר תורכב משלושה חברים ובראשם שופט של בית המשפט המחוזי;</w:t>
                  </w:r>
                </w:p>
                <w:p w:rsidR="00F5112D" w:rsidRDefault="00F5112D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הודעה על הקמת ועדת ערר ועל הרכבה תפורסם ברשומות.</w:t>
                  </w:r>
                </w:p>
                <w:p w:rsidR="00F5112D" w:rsidRDefault="00F5112D">
                  <w:pPr>
                    <w:pStyle w:val="OCRStyle1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(ב) עציר רשאי לערור על צו מעצר בפני ועדת ערר והוא רשאי</w:t>
                  </w:r>
                </w:p>
                <w:p w:rsidR="00F5112D" w:rsidRDefault="00F5112D">
                  <w:pPr>
                    <w:pStyle w:val="OCRStyle1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להופיע בעצמו בפני הועדה ולהשמיע טענותיו.</w:t>
                  </w:r>
                </w:p>
                <w:p w:rsidR="00F5112D" w:rsidRDefault="00F5112D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בים ז' בטבת התשמ"ד (13 בדצמבר 1983); הצעת החוק ודברי הסבר פורסמו בה"ח 1648,</w:t>
                  </w:r>
                </w:p>
                <w:p w:rsidR="00F5112D" w:rsidRDefault="00F5112D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התשמ''ד, עמ' 63.</w:t>
                  </w:r>
                </w:p>
                <w:p w:rsidR="00F5112D" w:rsidRDefault="00F5112D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ק"ת התשמ"ג, עמ' 1910.</w:t>
                  </w:r>
                </w:p>
                <w:p w:rsidR="00F5112D" w:rsidRDefault="00F5112D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 ס''ח התשט"ו, עמ' .171</w:t>
                  </w:r>
                </w:p>
                <w:p w:rsidR="00F5112D" w:rsidRPr="003F39D3" w:rsidRDefault="00F5112D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3 ס''ח התשל"ט, עמ'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15" o:spid="_x0000_s1027" type="#_x0000_t202" style="position:absolute;left:0;text-align:left;margin-left:101.95pt;margin-top:125pt;width:460.55pt;height:81.4pt;z-index:2;mso-wrap-style:none;mso-position-horizontal-relative:page;mso-position-vertical-relative:page" stroked="f">
            <v:textbox style="mso-next-textbox:#_x0000_s31215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1"/>
                    <w:gridCol w:w="1234"/>
                  </w:tblGrid>
                  <w:tr w:rsidR="00F5112D" w:rsidRPr="003F39D3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F5112D" w:rsidRDefault="00F5112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 שעת-חירום (החזקתם של עצורים מלבנון במעצר בישראל),</w:t>
                        </w:r>
                      </w:p>
                      <w:p w:rsidR="00F5112D" w:rsidRDefault="00F51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התשמ"ג-1983 1, בנוסח המובא בתוספת, מוארך בזה עד יום כ"ג באייר התשמ"ד (25</w:t>
                        </w:r>
                      </w:p>
                      <w:p w:rsidR="00F5112D" w:rsidRPr="003F39D3" w:rsidRDefault="00F51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במאי 1984).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F5112D" w:rsidRPr="003F39D3" w:rsidRDefault="00F51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5112D" w:rsidRPr="003F39D3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F5112D" w:rsidRPr="003F39D3" w:rsidRDefault="00F51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ט"ז בכסלו התשמ"ד (22 בנובמבר 1983).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F5112D" w:rsidRPr="003F39D3" w:rsidRDefault="00F51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F5112D" w:rsidRDefault="00F511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16" o:spid="_x0000_s1028" type="#_x0000_t202" style="position:absolute;left:0;text-align:left;margin-left:142.55pt;margin-top:70.95pt;width:311.65pt;height:48.9pt;z-index:1;mso-wrap-style:none;mso-position-horizontal-relative:page;mso-position-vertical-relative:page" stroked="f">
            <v:textbox style="mso-next-textbox:#_x0000_s31216" inset="0,0,0,0">
              <w:txbxContent>
                <w:p w:rsidR="00F5112D" w:rsidRDefault="00F5112D">
                  <w:pPr>
                    <w:pStyle w:val="OCRStyle1"/>
                    <w:ind w:left="29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שעת-חירום (החזקתם של</w:t>
                  </w:r>
                </w:p>
                <w:p w:rsidR="00F5112D" w:rsidRPr="003F39D3" w:rsidRDefault="00F5112D">
                  <w:pPr>
                    <w:pStyle w:val="OCRStyle1"/>
                    <w:ind w:left="63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עצורים מלבנון במעצר בישראל), התשמ"ד-1983 ?</w:t>
                  </w:r>
                </w:p>
              </w:txbxContent>
            </v:textbox>
            <w10:wrap anchorx="page" anchory="page"/>
          </v:shape>
        </w:pict>
      </w:r>
    </w:p>
    <w:p w:rsidR="00C86E5B" w:rsidRDefault="00C86E5B">
      <w:pPr>
        <w:rPr>
          <w:rtl/>
        </w:rPr>
      </w:pPr>
      <w:r>
        <w:rPr>
          <w:rtl/>
        </w:rPr>
        <w:br w:type="page"/>
      </w:r>
    </w:p>
    <w:p w:rsidR="00C86E5B" w:rsidRDefault="00000000">
      <w:pPr>
        <w:rPr>
          <w:rtl/>
        </w:rPr>
      </w:pPr>
      <w:r>
        <w:pict>
          <v:shape id="_x0000_s3121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217" inset="0,0,0,0">
              <w:txbxContent>
                <w:p w:rsidR="00F5112D" w:rsidRDefault="00F5112D">
                  <w:r>
                    <w:rPr>
                      <w:rtl/>
                    </w:rPr>
                    <w:t>27                                          ספר החוקים 1099                    י' בטבת התשמ"ד 16.12.1983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18" o:spid="_x0000_s1030" type="#_x0000_t202" style="position:absolute;left:0;text-align:left;margin-left:370.95pt;margin-top:718.2pt;width:165.75pt;height:23.95pt;z-index:9;mso-wrap-style:none;mso-position-horizontal-relative:page;mso-position-vertical-relative:page" stroked="f">
            <v:textbox style="mso-next-textbox:#_x0000_s31218" inset="0,0,0,0">
              <w:txbxContent>
                <w:p w:rsidR="00F5112D" w:rsidRDefault="00F511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219" o:spid="_x0000_s1031" type="#_x0000_t202" style="position:absolute;left:0;text-align:left;margin-left:172.95pt;margin-top:279.45pt;width:94.85pt;height:44.95pt;z-index:8;mso-wrap-style:none;mso-position-horizontal-relative:page;mso-position-vertical-relative:page" stroked="f">
            <v:textbox style="mso-next-textbox:#_x0000_s31219" inset="0,0,0,0">
              <w:txbxContent>
                <w:p w:rsidR="00F5112D" w:rsidRDefault="00F5112D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F5112D" w:rsidRDefault="00F5112D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20" o:spid="_x0000_s1032" type="#_x0000_t202" style="position:absolute;left:0;text-align:left;margin-left:301.05pt;margin-top:280.65pt;width:92.85pt;height:42.55pt;z-index:7;mso-wrap-style:none;mso-position-horizontal-relative:page;mso-position-vertical-relative:page" stroked="f">
            <v:textbox style="mso-next-textbox:#_x0000_s31220" inset="0,0,0,0">
              <w:txbxContent>
                <w:p w:rsidR="00F5112D" w:rsidRDefault="00F5112D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5112D" w:rsidRDefault="00F5112D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21" o:spid="_x0000_s1033" type="#_x0000_t202" style="position:absolute;left:0;text-align:left;margin-left:429.35pt;margin-top:312.9pt;width:91.65pt;height:37.4pt;z-index:6;mso-wrap-style:none;mso-position-horizontal-relative:page;mso-position-vertical-relative:page" stroked="f">
            <v:textbox style="mso-next-textbox:#_x0000_s31221" inset="0,0,0,0">
              <w:txbxContent>
                <w:p w:rsidR="00F5112D" w:rsidRDefault="00F5112D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5112D" w:rsidRDefault="00F5112D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22" o:spid="_x0000_s1034" type="#_x0000_t202" style="position:absolute;left:0;text-align:left;margin-left:149.95pt;margin-top:77.3pt;width:372.05pt;height:195.05pt;z-index:5;mso-wrap-style:none;mso-position-horizontal-relative:page;mso-position-vertical-relative:page" stroked="f">
            <v:textbox style="mso-next-textbox:#_x0000_s31222" inset="0,0,0,0">
              <w:txbxContent>
                <w:p w:rsidR="00F5112D" w:rsidRDefault="00F5112D">
                  <w:pPr>
                    <w:pStyle w:val="OCRStyle2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(ג) האפשרות להגיש ערר והנוהל להגשתו יובאו לידיעת העציר בהקדם</w:t>
                  </w:r>
                </w:p>
                <w:p w:rsidR="00F5112D" w:rsidRDefault="00F5112D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האפשרי ולא יאוחר משבועיים מיום מעצרו לפי תקנה 1(א).</w:t>
                  </w:r>
                </w:p>
                <w:p w:rsidR="00F5112D" w:rsidRDefault="00F5112D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(ד) ועדת ערר תחל לדון בערר בהקדם האפשרי ולא יאוחר מ-14 יום</w:t>
                  </w:r>
                </w:p>
                <w:p w:rsidR="00F5112D" w:rsidRDefault="00F5112D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מיום הגשתו.</w:t>
                  </w:r>
                </w:p>
                <w:p w:rsidR="00F5112D" w:rsidRDefault="00F5112D">
                  <w:pPr>
                    <w:pStyle w:val="OCRStyle2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, (ה) ועדת ערר תדון לפי סדרי דין ודיני ראיות כפי שנראה לה צודק</w:t>
                  </w:r>
                </w:p>
                <w:p w:rsidR="00F5112D" w:rsidRDefault="00F5112D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ומועיל,</w:t>
                  </w:r>
                </w:p>
                <w:p w:rsidR="00F5112D" w:rsidRDefault="00F5112D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(ו) ועדת ערר תחליט אם לאשר את המעצר כפי שנקבע בצו המעצר,</w:t>
                  </w:r>
                </w:p>
                <w:p w:rsidR="00F5112D" w:rsidRDefault="00F5112D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אם להגבילו בזמן או להתנותו בתנאים, ואם לבטלו.</w:t>
                  </w:r>
                </w:p>
                <w:p w:rsidR="00F5112D" w:rsidRDefault="00F5112D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אי-תחולת החוק</w:t>
                  </w:r>
                </w:p>
                <w:p w:rsidR="00F5112D" w:rsidRDefault="00F5112D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3. חוק סמכויות שעת חירום (מעצרים), התשל"ט-1979, לא יחול על מעצר</w:t>
                  </w:r>
                </w:p>
                <w:p w:rsidR="00F5112D" w:rsidRDefault="00F5112D">
                  <w:pPr>
                    <w:pStyle w:val="OCRStyle2"/>
                    <w:ind w:left="688"/>
                  </w:pPr>
                  <w:r>
                    <w:rPr>
                      <w:rtl/>
                    </w:rPr>
                    <w:t>לפי תקנות אלה.</w:t>
                  </w:r>
                </w:p>
              </w:txbxContent>
            </v:textbox>
            <w10:wrap anchorx="page" anchory="page"/>
          </v:shape>
        </w:pict>
      </w:r>
    </w:p>
    <w:p w:rsidR="00F5112D" w:rsidRDefault="00F5112D">
      <w:pPr>
        <w:rPr>
          <w:rtl/>
        </w:rPr>
      </w:pPr>
      <w:r>
        <w:rPr>
          <w:rtl/>
        </w:rPr>
        <w:br w:type="page"/>
      </w:r>
    </w:p>
    <w:p w:rsidR="00F5112D" w:rsidRDefault="00000000">
      <w:pPr>
        <w:rPr>
          <w:rtl/>
        </w:rPr>
      </w:pPr>
      <w:r>
        <w:pict>
          <v:shape id="_x0000_s31223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1223" inset="0,0,0,0">
              <w:txbxContent>
                <w:p w:rsidR="00F5112D" w:rsidRDefault="00F5112D">
                  <w:r>
                    <w:rPr>
                      <w:rtl/>
                    </w:rPr>
                    <w:t>28                                          ספר החוקים 1099                    י' בטבת התשמ"ד 16.12.1983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24" o:spid="_x0000_s1036" type="#_x0000_t202" style="position:absolute;left:0;text-align:left;margin-left:83.15pt;margin-top:711.55pt;width:157.4pt;height:32.25pt;z-index:11;mso-wrap-style:none;mso-position-horizontal-relative:page;mso-position-vertical-relative:page" stroked="f">
            <v:textbox style="mso-next-textbox:#_x0000_s31224" inset="0,0,0,0">
              <w:txbxContent>
                <w:p w:rsidR="00F5112D" w:rsidRDefault="00F511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39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A8FA82-547E-45B2-B537-592DFED3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39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86E5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511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2008-04-07T01:36:00Z</dcterms:created>
  <dcterms:modified xsi:type="dcterms:W3CDTF">2008-04-07T01:36:00Z</dcterms:modified>
</cp:coreProperties>
</file>