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0532D" w:rsidRDefault="00E0532D">
      <w:pPr>
        <w:rPr>
          <w:rtl/>
        </w:rPr>
      </w:pPr>
    </w:p>
    <w:p w:rsidR="00E0532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29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1292" inset="0,0,0,0">
              <w:txbxContent>
                <w:p w:rsidR="00E0532D" w:rsidRDefault="00E0532D">
                  <w:r>
                    <w:rPr>
                      <w:rtl/>
                    </w:rPr>
                    <w:t>34                                           ספר החוקים 328                   י"ב באדר התשכ"א 28.02.1961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93" o:spid="_x0000_s1026" type="#_x0000_t202" style="position:absolute;left:0;text-align:left;margin-left:82.5pt;margin-top:669.55pt;width:379.55pt;height:75.65pt;z-index:6;mso-position-horizontal-relative:page;mso-position-vertical-relative:page" stroked="f">
            <v:textbox style="mso-next-textbox:#_x0000_s31293" inset="0,0,0,0">
              <w:txbxContent>
                <w:p w:rsidR="00E0532D" w:rsidRDefault="00E0532D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באדר תשכ"א (20 בפברואר 1901); הצעת החוק ודברי הסבר נתפרסמו בה"ח 440, תשכ"א,</w:t>
                  </w:r>
                </w:p>
                <w:p w:rsidR="00E0532D" w:rsidRDefault="00E0532D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עמ' 44.</w:t>
                  </w:r>
                </w:p>
                <w:p w:rsidR="00E0532D" w:rsidRDefault="00E0532D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1 ס"ח 280, תשי"ט, עמ' 152.</w:t>
                  </w:r>
                </w:p>
                <w:p w:rsidR="00E0532D" w:rsidRPr="00E0532D" w:rsidRDefault="00E0532D">
                  <w:pPr>
                    <w:pStyle w:val="OCRStyle1"/>
                    <w:ind w:left="4198"/>
                  </w:pPr>
                  <w:r>
                    <w:rPr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94" o:spid="_x0000_s1027" type="#_x0000_t202" style="position:absolute;left:0;text-align:left;margin-left:99.7pt;margin-top:425.8pt;width:107.5pt;height:45.75pt;z-index:5;mso-position-horizontal-relative:page;mso-position-vertical-relative:page" stroked="f">
            <v:textbox style="mso-next-textbox:#_x0000_s31294" inset="0,0,0,0">
              <w:txbxContent>
                <w:p w:rsidR="00E0532D" w:rsidRDefault="00E0532D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E0532D" w:rsidRDefault="00E0532D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שר המסחר והתעשיה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95" o:spid="_x0000_s1028" type="#_x0000_t202" style="position:absolute;left:0;text-align:left;margin-left:225.45pt;margin-top:426.6pt;width:99pt;height:39.6pt;z-index:4;mso-position-horizontal-relative:page;mso-position-vertical-relative:page" stroked="f">
            <v:textbox style="mso-next-textbox:#_x0000_s31295" inset="0,0,0,0">
              <w:txbxContent>
                <w:p w:rsidR="00E0532D" w:rsidRDefault="00E0532D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E0532D" w:rsidRDefault="00E0532D">
                  <w:pPr>
                    <w:pStyle w:val="OCRStyle1"/>
                    <w:ind w:left="3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96" o:spid="_x0000_s1029" type="#_x0000_t202" style="position:absolute;left:0;text-align:left;margin-left:350.15pt;margin-top:460.25pt;width:99pt;height:35.25pt;z-index:3;mso-position-horizontal-relative:page;mso-position-vertical-relative:page" stroked="f">
            <v:textbox style="mso-next-textbox:#_x0000_s31296" inset="0,0,0,0">
              <w:txbxContent>
                <w:p w:rsidR="00E0532D" w:rsidRDefault="00E0532D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E0532D" w:rsidRDefault="00E0532D">
                  <w:pPr>
                    <w:pStyle w:val="OCRStyle1"/>
                    <w:ind w:left="40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97" o:spid="_x0000_s1030" type="#_x0000_t202" style="position:absolute;left:0;text-align:left;margin-left:85.85pt;margin-top:115.15pt;width:461.55pt;height:296pt;z-index:2;mso-position-horizontal-relative:page;mso-position-vertical-relative:page" stroked="f">
            <v:textbox style="mso-next-textbox:#_x0000_s3129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50"/>
                    <w:gridCol w:w="1522"/>
                    <w:gridCol w:w="1321"/>
                  </w:tblGrid>
                  <w:tr w:rsidR="00E0532D" w:rsidRPr="00E0532D">
                    <w:trPr>
                      <w:jc w:val="right"/>
                    </w:trPr>
                    <w:tc>
                      <w:tcPr>
                        <w:tcW w:w="4213" w:type="pct"/>
                        <w:gridSpan w:val="2"/>
                      </w:tcPr>
                      <w:p w:rsidR="00E0532D" w:rsidRDefault="00E0532D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 לחוק ההגבלים העסקיים,      תשי"ט-11959 (להלן - החוק העיקרי)' בהגדרת</w:t>
                        </w:r>
                      </w:p>
                      <w:p w:rsidR="00E0532D" w:rsidRPr="00E0532D" w:rsidRDefault="00E053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"מצרך", במקום "בטיחות" יבוא "בטוחות'/</w:t>
                        </w:r>
                      </w:p>
                    </w:tc>
                    <w:tc>
                      <w:tcPr>
                        <w:tcW w:w="787" w:type="pct"/>
                      </w:tcPr>
                      <w:p w:rsidR="00E0532D" w:rsidRPr="00E0532D" w:rsidRDefault="00E053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E0532D" w:rsidRPr="00E0532D">
                    <w:trPr>
                      <w:jc w:val="right"/>
                    </w:trPr>
                    <w:tc>
                      <w:tcPr>
                        <w:tcW w:w="4213" w:type="pct"/>
                        <w:gridSpan w:val="2"/>
                      </w:tcPr>
                      <w:p w:rsidR="00E0532D" w:rsidRPr="00E0532D" w:rsidRDefault="00E053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אחרי סעיף 10 לחוק העיקרי יווסף:</w:t>
                        </w:r>
                      </w:p>
                    </w:tc>
                    <w:tc>
                      <w:tcPr>
                        <w:tcW w:w="787" w:type="pct"/>
                      </w:tcPr>
                      <w:p w:rsidR="00E0532D" w:rsidRPr="00E0532D" w:rsidRDefault="00E053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10א</w:t>
                        </w:r>
                      </w:p>
                    </w:tc>
                  </w:tr>
                  <w:tr w:rsidR="00E0532D">
                    <w:trPr>
                      <w:jc w:val="right"/>
                    </w:trPr>
                    <w:tc>
                      <w:tcPr>
                        <w:tcW w:w="3306" w:type="pct"/>
                      </w:tcPr>
                      <w:p w:rsidR="00E0532D" w:rsidRDefault="00E053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)1א. הסדר שכל כבילותיו נוגעות לתנאי הסעת נוסעים או הובלת מטען,</w:t>
                        </w:r>
                      </w:p>
                      <w:p w:rsidR="00E0532D" w:rsidRDefault="00E053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נים או באויר - איננו הסדר כובל."</w:t>
                        </w:r>
                      </w:p>
                    </w:tc>
                    <w:tc>
                      <w:tcPr>
                        <w:tcW w:w="907" w:type="pct"/>
                      </w:tcPr>
                      <w:p w:rsidR="00E0532D" w:rsidRDefault="00E053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"הסדר תובלה </w:t>
                        </w:r>
                      </w:p>
                      <w:p w:rsidR="00E0532D" w:rsidRPr="00E0532D" w:rsidRDefault="00E053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</w:t>
                        </w:r>
                      </w:p>
                    </w:tc>
                    <w:tc>
                      <w:tcPr>
                        <w:tcW w:w="787" w:type="pct"/>
                      </w:tcPr>
                      <w:p w:rsidR="00E0532D" w:rsidRDefault="00E0532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0532D" w:rsidRPr="00E0532D">
                    <w:trPr>
                      <w:jc w:val="right"/>
                    </w:trPr>
                    <w:tc>
                      <w:tcPr>
                        <w:tcW w:w="4213" w:type="pct"/>
                        <w:gridSpan w:val="2"/>
                      </w:tcPr>
                      <w:p w:rsidR="00E0532D" w:rsidRPr="00E0532D" w:rsidRDefault="00E053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.אחרי סעיף 15 לחוק העיקרי יווסף:</w:t>
                        </w:r>
                      </w:p>
                    </w:tc>
                    <w:tc>
                      <w:tcPr>
                        <w:tcW w:w="787" w:type="pct"/>
                        <w:vMerge w:val="restart"/>
                      </w:tcPr>
                      <w:p w:rsidR="00E0532D" w:rsidRDefault="00E053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E0532D" w:rsidRPr="00E0532D" w:rsidRDefault="00E053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15א ו-15ב</w:t>
                        </w:r>
                      </w:p>
                    </w:tc>
                  </w:tr>
                  <w:tr w:rsidR="00E0532D">
                    <w:trPr>
                      <w:jc w:val="right"/>
                    </w:trPr>
                    <w:tc>
                      <w:tcPr>
                        <w:tcW w:w="3306" w:type="pct"/>
                      </w:tcPr>
                      <w:p w:rsidR="00E0532D" w:rsidRDefault="00E053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15א. מנין חוקי בישיבות המועצה יהיה היושב ראש ומחצית חברי המועצה</w:t>
                        </w:r>
                      </w:p>
                      <w:p w:rsidR="00E0532D" w:rsidRDefault="00E053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הנותרים ששנים מהם לפחות אינם עובדי המדינה.</w:t>
                        </w:r>
                      </w:p>
                    </w:tc>
                    <w:tc>
                      <w:tcPr>
                        <w:tcW w:w="907" w:type="pct"/>
                      </w:tcPr>
                      <w:p w:rsidR="00E0532D" w:rsidRDefault="00E053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"מנין חוקי ;</w:t>
                        </w:r>
                      </w:p>
                      <w:p w:rsidR="00E0532D" w:rsidRPr="00E0532D" w:rsidRDefault="00E053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ן</w:t>
                        </w:r>
                      </w:p>
                    </w:tc>
                    <w:tc>
                      <w:tcPr>
                        <w:tcW w:w="787" w:type="pct"/>
                        <w:vMerge/>
                      </w:tcPr>
                      <w:p w:rsidR="00E0532D" w:rsidRDefault="00E0532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0532D">
                    <w:trPr>
                      <w:jc w:val="right"/>
                    </w:trPr>
                    <w:tc>
                      <w:tcPr>
                        <w:tcW w:w="3306" w:type="pct"/>
                      </w:tcPr>
                      <w:p w:rsidR="00E0532D" w:rsidRDefault="00E053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15ב. בכפוף לאמור בסעיף 15א, אם נתחלף הרכב המועצה לאחר שהחלה</w:t>
                        </w:r>
                      </w:p>
                      <w:p w:rsidR="00E0532D" w:rsidRDefault="00E053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בדיון בענין פלוני ולפני שהיה סיפק בידה לקבל החלטה' רשאית המועצה</w:t>
                        </w:r>
                      </w:p>
                      <w:p w:rsidR="00E0532D" w:rsidRDefault="00E053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בהרכבה החדש להמשיך בדיון מהשלב שבו הופסק ולהשתמש בראיות</w:t>
                        </w:r>
                      </w:p>
                      <w:p w:rsidR="00E0532D" w:rsidRDefault="00E053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שהובאו לפני ההרכב הקודם, ובלבד שהסכים לכך היושב ראש; ואולם</w:t>
                        </w:r>
                      </w:p>
                      <w:p w:rsidR="00E0532D" w:rsidRDefault="00E053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נתמנתה מועצה חדשה' לא יחול סעיף זה אלא אם לפחות מחצית</w:t>
                        </w:r>
                      </w:p>
                      <w:p w:rsidR="00E0532D" w:rsidRDefault="00E053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זכרי המועצה הקודמת הם חברים גם במועצה החדשה."</w:t>
                        </w:r>
                      </w:p>
                    </w:tc>
                    <w:tc>
                      <w:tcPr>
                        <w:tcW w:w="907" w:type="pct"/>
                      </w:tcPr>
                      <w:p w:rsidR="00E0532D" w:rsidRDefault="00E053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החלפת הרכב </w:t>
                        </w:r>
                      </w:p>
                      <w:p w:rsidR="00E0532D" w:rsidRDefault="00E053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  <w:p w:rsidR="00E0532D" w:rsidRDefault="00E053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</w:t>
                        </w:r>
                      </w:p>
                      <w:p w:rsidR="00E0532D" w:rsidRPr="00E0532D" w:rsidRDefault="00E053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</w:t>
                        </w:r>
                      </w:p>
                    </w:tc>
                    <w:tc>
                      <w:tcPr>
                        <w:tcW w:w="787" w:type="pct"/>
                      </w:tcPr>
                      <w:p w:rsidR="00E0532D" w:rsidRDefault="00E0532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0532D" w:rsidRPr="00E0532D">
                    <w:trPr>
                      <w:jc w:val="right"/>
                    </w:trPr>
                    <w:tc>
                      <w:tcPr>
                        <w:tcW w:w="4213" w:type="pct"/>
                        <w:gridSpan w:val="2"/>
                      </w:tcPr>
                      <w:p w:rsidR="00E0532D" w:rsidRDefault="00E053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.במקום סעיף 29 לחוק העיקרי יבוא:</w:t>
                        </w:r>
                      </w:p>
                    </w:tc>
                    <w:tc>
                      <w:tcPr>
                        <w:tcW w:w="787" w:type="pct"/>
                      </w:tcPr>
                      <w:p w:rsidR="00E0532D" w:rsidRPr="00E0532D" w:rsidRDefault="00E053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29</w:t>
                        </w:r>
                      </w:p>
                    </w:tc>
                  </w:tr>
                  <w:tr w:rsidR="00E0532D">
                    <w:trPr>
                      <w:jc w:val="right"/>
                    </w:trPr>
                    <w:tc>
                      <w:tcPr>
                        <w:tcW w:w="3306" w:type="pct"/>
                      </w:tcPr>
                      <w:p w:rsidR="00E0532D" w:rsidRDefault="00E053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כל החלטה של המועצה או של בית המשפט העליון בענין הסדר</w:t>
                        </w:r>
                      </w:p>
                      <w:p w:rsidR="00E0532D" w:rsidRDefault="00E053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:ובל תירשם על ידי הממונה כמרשם לצד אותו הסדר. והוא יפרסם עליה</w:t>
                        </w:r>
                      </w:p>
                      <w:p w:rsidR="00E0532D" w:rsidRPr="00E0532D" w:rsidRDefault="00E053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תודעה ברשומות וישלח העתק למגיש הבקשה ולמתנגד,"</w:t>
                        </w:r>
                      </w:p>
                    </w:tc>
                    <w:tc>
                      <w:tcPr>
                        <w:tcW w:w="907" w:type="pct"/>
                      </w:tcPr>
                      <w:p w:rsidR="00E0532D" w:rsidRDefault="00E053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"רישום החלטות </w:t>
                        </w:r>
                      </w:p>
                      <w:p w:rsidR="00E0532D" w:rsidRPr="00E0532D" w:rsidRDefault="00E053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787" w:type="pct"/>
                      </w:tcPr>
                      <w:p w:rsidR="00E0532D" w:rsidRDefault="00E0532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0532D" w:rsidRDefault="00E0532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298" o:spid="_x0000_s1031" type="#_x0000_t202" style="position:absolute;left:0;text-align:left;margin-left:141.9pt;margin-top:80.7pt;width:279pt;height:30.1pt;z-index:1;mso-position-horizontal-relative:page;mso-position-vertical-relative:page" stroked="f">
            <v:textbox style="mso-next-textbox:#_x0000_s31298" inset="0,0,0,0">
              <w:txbxContent>
                <w:p w:rsidR="00E0532D" w:rsidRPr="00E0532D" w:rsidRDefault="00E0532D">
                  <w:pPr>
                    <w:pStyle w:val="OCRStyle1"/>
                    <w:ind w:left="25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ההגבלים העסקיים (תיקון), תשכ"א-1961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0532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532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7799EAA-B8BA-4624-AC47-D06D6F857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0532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2008-04-06T19:37:00Z</dcterms:created>
  <dcterms:modified xsi:type="dcterms:W3CDTF">2008-04-06T19:38:00Z</dcterms:modified>
</cp:coreProperties>
</file>