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758" w:rsidRDefault="001F6758">
      <w:pPr>
        <w:rPr>
          <w:rtl/>
        </w:rPr>
      </w:pPr>
    </w:p>
    <w:p w:rsidR="001F67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44" inset="0,0,0,0">
              <w:txbxContent>
                <w:p w:rsidR="00E47462" w:rsidRDefault="00E47462">
                  <w:r>
                    <w:rPr>
                      <w:rtl/>
                    </w:rPr>
                    <w:t>40                                          ספר החוקים 1103                   י"ג בשבט התשמ"ד 17.01.1984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5" o:spid="_x0000_s1026" type="#_x0000_t202" style="position:absolute;left:0;text-align:left;margin-left:92.3pt;margin-top:645.7pt;width:406.7pt;height:89.1pt;z-index:3;mso-wrap-style:none;mso-position-horizontal-relative:page;mso-position-vertical-relative:page" stroked="f">
            <v:textbox style="mso-next-textbox:#_x0000_s31445" inset="0,0,0,0">
              <w:txbxContent>
                <w:p w:rsidR="00E47462" w:rsidRDefault="00E47462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התשמ"ד (,9 בינואר 1984); הצעת החוק ודברי הסבר פורסמו בה''ח 1644, התשמ"ד,</w:t>
                  </w:r>
                </w:p>
                <w:p w:rsidR="00E47462" w:rsidRDefault="00E47462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עמ' 31.</w:t>
                  </w:r>
                </w:p>
                <w:p w:rsidR="00E47462" w:rsidRDefault="00E4746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1 ס"ח התשמ"ב, עמ' 234; התשמ''ג, עמ' 82.</w:t>
                  </w:r>
                </w:p>
                <w:p w:rsidR="00E47462" w:rsidRPr="001F6758" w:rsidRDefault="00E47462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2 ס"ח התשלמ"ב,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6" o:spid="_x0000_s1027" type="#_x0000_t202" style="position:absolute;left:0;text-align:left;margin-left:94.9pt;margin-top:122pt;width:463.1pt;height:509.25pt;z-index:2;mso-wrap-style:none;mso-position-horizontal-relative:page;mso-position-vertical-relative:page" stroked="f">
            <v:textbox style="mso-next-textbox:#_x0000_s31446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361"/>
                  </w:tblGrid>
                  <w:tr w:rsidR="00E47462" w:rsidRPr="001F675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47462" w:rsidRDefault="00E4746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על אף האמור בסעיף 20(ב) לחוק מס הכנסה (מיסוי בתנאי אינפלציה),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התשמ"ב-11982 (להלן - החוק), עלות הקניה של מניות, אופציות וניירות ערך אחרים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להמרה למניות שרכש נישום לענין החוק, בתקופה שמיום לי בתשרי התשמ"ד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 באוקטובר 1983) ועד לפתיחתה של הבורסה לניירות ערך בתל-אביב מחדש למסחר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י"ז בחשון התשמ"ד (24 באוקטובר 1983) (להלן - התקופה הקובעת), תהיה,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החישוב של השינוי בערכם, מחיר הבורסה של אותם ניירות ערך ביום שבו נקשרו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עסקאות בבורסה לראשונה לאחר פתיחתה כאמור; סכום עלות הקניה כאמור יהיה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סכום תמורת המכירה בידי מי שמכר לנישום כאמור את ניירות הערך.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רכישת ניירות ערך כאמור מחוץ לבורסה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בימים כ"ז עד כ"ט בתשרי התשמ"ד (4 עד 6 באוקטובר 1983), זולת אם הוכח להנחת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 שהעסקה בוצעה בתום לב ובלי שהמחיר הושפע מקיום יחסים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מיוחדים.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נרכשו ניירות ערך שחלות עליהם הוראות סעיף זה, ייראה ההפרש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סכום העלות שנרשם בספרי העסק לבין סכום העלות שנקבע על פי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כגריעה מההון העצמי מתחילת החודש שבו נרכשו.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הפרש שחלה עליו פסקה (1), בידי חברה שרכשה את ניירות הערך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 בה, יראוהו, לענין הפקודה, כדיבידנד ששולם לחבר, והחברה תעביר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את המס שהיתר. צריכה לנכות במקור בשלו, תוך 30 ימים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זה; את המס האמור יראו לכל דבר וענין כניכוי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במקור.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העברת ניירות ערך של יחיד מחשבונו הפרטי לעסקו, כרכישה;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 העברה כאמור שלא באמצעות סוחר מוסמך, יראו את ניירות הערר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הועברו;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ייחשב כיום הרכישה -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במכירה שחייבים בשלה בדיווח לבורסה או בהיטל על פי חוק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מבצע שלום הגליל, התשמ"ב-21982 (להלן - ההיטל) -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שקדם ליום שבו נתקבל בבורסה הדיווח שחייבים בו על פי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144 לתקנון הבורסה או יום העסקים השלישי שלפני היום שבו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לפקיד השומה ההיטל בשל מכירתו לרוכש, לפי המוקדם;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בהעברה מחשבונו הפרטי של יחיד לעסקו - היום שבו קיבל</w:t>
                        </w:r>
                      </w:p>
                      <w:p w:rsidR="00E47462" w:rsidRPr="001F6758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רישום ההעברה את ההוראה לביצועה.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הקניה של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שנרכשו</w:t>
                        </w:r>
                      </w:p>
                      <w:p w:rsidR="00E47462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כשהבורסה היתד.</w:t>
                        </w:r>
                      </w:p>
                      <w:p w:rsidR="00E47462" w:rsidRPr="001F6758" w:rsidRDefault="00E47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סגורה</w:t>
                        </w:r>
                      </w:p>
                    </w:tc>
                  </w:tr>
                </w:tbl>
                <w:p w:rsidR="00E47462" w:rsidRDefault="00E474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47" o:spid="_x0000_s1028" type="#_x0000_t202" style="position:absolute;left:0;text-align:left;margin-left:118.05pt;margin-top:75.3pt;width:368.7pt;height:40.4pt;z-index:1;mso-wrap-style:none;mso-position-horizontal-relative:page;mso-position-vertical-relative:page" stroked="f">
            <v:textbox style="mso-next-textbox:#_x0000_s31447" inset="0,0,0,0">
              <w:txbxContent>
                <w:p w:rsidR="00E47462" w:rsidRDefault="00E47462">
                  <w:pPr>
                    <w:pStyle w:val="OCRStyle1"/>
                    <w:ind w:left="59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(מיסוי בתנאי אינפלציה) (הוראת שעה ותיקוני חוק),</w:t>
                  </w:r>
                </w:p>
                <w:p w:rsidR="00E47462" w:rsidRPr="001F6758" w:rsidRDefault="00E47462">
                  <w:pPr>
                    <w:pStyle w:val="OCRStyle1"/>
                    <w:ind w:left="267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*</w:t>
                  </w:r>
                </w:p>
              </w:txbxContent>
            </v:textbox>
            <w10:wrap anchorx="page" anchory="page"/>
          </v:shape>
        </w:pict>
      </w:r>
    </w:p>
    <w:p w:rsidR="00AD43E2" w:rsidRDefault="00AD43E2">
      <w:pPr>
        <w:rPr>
          <w:rtl/>
        </w:rPr>
      </w:pPr>
      <w:r>
        <w:rPr>
          <w:rtl/>
        </w:rPr>
        <w:br w:type="page"/>
      </w:r>
    </w:p>
    <w:p w:rsidR="00AD43E2" w:rsidRDefault="00000000">
      <w:pPr>
        <w:rPr>
          <w:rtl/>
        </w:rPr>
      </w:pPr>
      <w:r>
        <w:pict>
          <v:shape id="_x0000_s314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448" inset="0,0,0,0">
              <w:txbxContent>
                <w:p w:rsidR="00E47462" w:rsidRDefault="00E47462">
                  <w:r>
                    <w:rPr>
                      <w:rtl/>
                    </w:rPr>
                    <w:t>41                                          ספר החוקים 1103                   י"ג בשבט התשמ"ד 17.01.1984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9" o:spid="_x0000_s1030" type="#_x0000_t202" style="position:absolute;left:0;text-align:left;margin-left:359.95pt;margin-top:715.4pt;width:178.2pt;height:25.55pt;z-index:6;mso-wrap-style:none;mso-position-horizontal-relative:page;mso-position-vertical-relative:page" stroked="f">
            <v:textbox style="mso-next-textbox:#_x0000_s31449" inset="0,0,0,0">
              <w:txbxContent>
                <w:p w:rsidR="00E47462" w:rsidRDefault="00E474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450" o:spid="_x0000_s1031" type="#_x0000_t202" style="position:absolute;left:0;text-align:left;margin-left:93.65pt;margin-top:74.3pt;width:466.9pt;height:633.6pt;z-index:5;mso-wrap-style:none;mso-position-horizontal-relative:page;mso-position-vertical-relative:page" stroked="f">
            <v:textbox style="mso-next-textbox:#_x0000_s31450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411"/>
                  </w:tblGrid>
                  <w:tr w:rsidR="00E47462" w:rsidRPr="00AD43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-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3(ב)(5), בסופו יבוא "ולענין פסקה זו יראו השקעה של קרן השקעות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 בנאמנות בניירות ערך נושא ההסכמים בין מדינת ישראל לבין מספר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כאמור בהודעות בדבר הסדרים לרכישת ניירות ערך בנקאיים שפורסמו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בילקוט הפרסומים 2971 מיום ט"ז בחשון התשמ"ד (23 באוקטובר 1983), שנעשתה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חתימת ההסכמים האמורים, כהשקעה באיגרות חוב של המדינה, ובלבד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ההשקעה של הקרן באיגרות חוב נסחרות בבורסה שהונפקו בידי המדינה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בערבותה לא יפחת מ-50% מנכסי הקרן" ;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20(ב)(1) -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"ובלבד שאם" יבוא "ויחולו הוראות אלה: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תמורת המכירה או עלות הקניה, כשבין הצדדים קיימים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מיוחדים והעסקה נעשתה מחוץ לבורסה, יהיה מועד המכירה או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הרכישה -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במכירה שחייבים בשלה בדיווח לבורסה או בהיטל על פי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למימון מבצע שלום הגליל, התשמ"ב-1982 (להלן -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ההיטל) - היום שקדם ליום שבו נתקבל בבורסה הדיווח שחיי-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 בו על פי סעיף 144 לתקנון הבורסה או יום העסקים השלישי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היום שבו הועבר לפקיד השומה ההיטל בשל מכירתו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לרוכש, לפי המוקדם, זולת אם הוכח להנחת דעתו של פקיד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שהעסקה בוצעה במועד אחר ;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אם";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נוצר הפרש בין סכום העלות שנרשם בספרי העסק לבין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עלות הקניה שנקבע על פי סעיף זה, בעסקה שחלה עליה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פסקת משנה (א), ייחשב הפרש זה כגריעה מההון העצמי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החודש שבו נרכשו ניירות הערך, זולת אם שוכנע פקיד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שהמחיר לא הושפע מהעדר תום לב או מקיום יחסים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מיוחדים;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הפרש שחלה עליו פסקת משנה זו, בידי חברה שרכשה את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מחבר בה, יראוהו לענין הפקודה, כדיבידנד ששולם</w:t>
                        </w:r>
                      </w:p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לחבר."</w:t>
                        </w:r>
                      </w:p>
                    </w:tc>
                  </w:tr>
                  <w:tr w:rsidR="00E47462" w:rsidRPr="00AD43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 ותחולה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2(1) מיום ט"ז בחשון התשמ"ד (23 באוקטובר 1983), ושל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2(2)(א) מיום ט"ו בכסלו התשמ"ג (1 בדצמבר 1982); תחולתו של סעיף 2(2)(ב)</w:t>
                        </w:r>
                      </w:p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עסקאות שנעשו לאחר פרסום חוק זה.</w:t>
                        </w:r>
                      </w:p>
                    </w:tc>
                  </w:tr>
                  <w:tr w:rsidR="00E47462" w:rsidRPr="00AD43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נישום שקנה או מכר מחוץ לבורסה ניירות ערר כאמור בסעיף 2 או שהעביר</w:t>
                        </w:r>
                      </w:p>
                      <w:p w:rsidR="00E4746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ערד כאמור מחשבונו הפרטי לעסקו או להיפר, לפני המועד שבו הגיש הנישום</w:t>
                        </w:r>
                      </w:p>
                      <w:p w:rsidR="00E47462" w:rsidRPr="00AD43E2" w:rsidRDefault="00E474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הדו"ח על פי סעיף 131 לפקודה לשנות המס 1982 או 1983, ימסור לפקיד השומה</w:t>
                        </w:r>
                      </w:p>
                    </w:tc>
                  </w:tr>
                </w:tbl>
                <w:p w:rsidR="00E47462" w:rsidRDefault="00E474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47462" w:rsidRDefault="00E47462">
      <w:pPr>
        <w:rPr>
          <w:rtl/>
        </w:rPr>
      </w:pPr>
      <w:r>
        <w:rPr>
          <w:rtl/>
        </w:rPr>
        <w:br w:type="page"/>
      </w:r>
    </w:p>
    <w:p w:rsidR="00E47462" w:rsidRDefault="00000000">
      <w:pPr>
        <w:rPr>
          <w:rtl/>
        </w:rPr>
      </w:pPr>
      <w:r>
        <w:pict>
          <v:shape id="_x0000_s3145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451" inset="0,0,0,0">
              <w:txbxContent>
                <w:p w:rsidR="00E47462" w:rsidRDefault="00E47462">
                  <w:r>
                    <w:rPr>
                      <w:rtl/>
                    </w:rPr>
                    <w:t>42                                          ספר החוקים 1103                   י"ג בשבט התשמ"ד 17.01.1984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2" o:spid="_x0000_s1033" type="#_x0000_t202" style="position:absolute;left:0;text-align:left;margin-left:91.2pt;margin-top:686.8pt;width:178.2pt;height:50.3pt;z-index:12;mso-wrap-style:none;mso-position-horizontal-relative:page;mso-position-vertical-relative:page" stroked="f">
            <v:textbox style="mso-next-textbox:#_x0000_s31452" inset="0,0,0,0">
              <w:txbxContent>
                <w:p w:rsidR="00E47462" w:rsidRDefault="00E4746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453" o:spid="_x0000_s1034" type="#_x0000_t202" style="position:absolute;left:0;text-align:left;margin-left:102.65pt;margin-top:154.2pt;width:133.05pt;height:43.35pt;z-index:11;mso-wrap-style:none;mso-position-horizontal-relative:page;mso-position-vertical-relative:page" stroked="f">
            <v:textbox style="mso-next-textbox:#_x0000_s31453" inset="0,0,0,0">
              <w:txbxContent>
                <w:p w:rsidR="00E47462" w:rsidRDefault="00E47462">
                  <w:pPr>
                    <w:pStyle w:val="OCRStyle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E47462" w:rsidRDefault="00E47462">
                  <w:pPr>
                    <w:pStyle w:val="OCRStyle3"/>
                    <w:ind w:left="8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4" o:spid="_x0000_s1035" type="#_x0000_t202" style="position:absolute;left:0;text-align:left;margin-left:249.4pt;margin-top:158.95pt;width:94.65pt;height:39.4pt;z-index:10;mso-wrap-style:none;mso-position-horizontal-relative:page;mso-position-vertical-relative:page" stroked="f">
            <v:textbox style="mso-next-textbox:#_x0000_s31454" inset="0,0,0,0">
              <w:txbxContent>
                <w:p w:rsidR="00E47462" w:rsidRDefault="00E47462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7462" w:rsidRDefault="00E47462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5" o:spid="_x0000_s1036" type="#_x0000_t202" style="position:absolute;left:0;text-align:left;margin-left:376.9pt;margin-top:185.5pt;width:150.7pt;height:38.4pt;z-index:9;mso-wrap-style:none;mso-position-horizontal-relative:page;mso-position-vertical-relative:page" stroked="f">
            <v:textbox style="mso-next-textbox:#_x0000_s31455" inset="0,0,0,0">
              <w:txbxContent>
                <w:p w:rsidR="00E47462" w:rsidRDefault="00E47462">
                  <w:pPr>
                    <w:pStyle w:val="OCRStyle3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E47462" w:rsidRDefault="00E47462">
                  <w:pPr>
                    <w:pStyle w:val="OCRStyle3"/>
                    <w:ind w:left="14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6" o:spid="_x0000_s1037" type="#_x0000_t202" style="position:absolute;left:0;text-align:left;margin-left:92.95pt;margin-top:71.65pt;width:423.3pt;height:70.5pt;z-index:8;mso-wrap-style:none;mso-position-horizontal-relative:page;mso-position-vertical-relative:page" stroked="f">
            <v:textbox style="mso-next-textbox:#_x0000_s31456" inset="0,0,0,0">
              <w:txbxContent>
                <w:p w:rsidR="00E47462" w:rsidRDefault="00E47462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תור 30 ימים מיום פרסומו של חוק זה דו"ח בו יפרט את העסקאות האמורות שביצע,</w:t>
                  </w:r>
                </w:p>
                <w:p w:rsidR="00E47462" w:rsidRDefault="00E47462">
                  <w:pPr>
                    <w:pStyle w:val="OCRStyle3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את מועד הביצוע, את התמורה ואת שם האדם שממנו רכש או שלו מכר ויתקן את</w:t>
                  </w:r>
                </w:p>
                <w:p w:rsidR="00E47462" w:rsidRDefault="00E47462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הדו"ח שהגיש לפי המתחייב מהאמור בסעיף 2, ואם טרם הגיש את הדו"ח - ימסור את</w:t>
                  </w:r>
                </w:p>
                <w:p w:rsidR="00E47462" w:rsidRDefault="00E47462">
                  <w:pPr>
                    <w:pStyle w:val="OCRStyle3"/>
                    <w:ind w:left="702"/>
                  </w:pPr>
                  <w:r>
                    <w:rPr>
                      <w:rtl/>
                    </w:rPr>
                    <w:t>הפרטים האמורים יחד עם הדו"ח.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67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AB2247-EEA2-43F9-9A09-36AA2E83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675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D43E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474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2008-04-07T01:37:00Z</dcterms:created>
  <dcterms:modified xsi:type="dcterms:W3CDTF">2008-04-07T01:37:00Z</dcterms:modified>
</cp:coreProperties>
</file>