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4830" w:rsidRDefault="006C4830">
      <w:pPr>
        <w:rPr>
          <w:rtl/>
        </w:rPr>
      </w:pPr>
    </w:p>
    <w:p w:rsidR="006C48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8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482" inset="0,0,0,0">
              <w:txbxContent>
                <w:p w:rsidR="006C4830" w:rsidRDefault="006C4830">
                  <w:r>
                    <w:rPr>
                      <w:rtl/>
                    </w:rPr>
                    <w:t>50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3" o:spid="_x0000_s1026" type="#_x0000_t202" style="position:absolute;left:0;text-align:left;margin-left:87pt;margin-top:697.95pt;width:171.65pt;height:32.25pt;z-index:7;mso-wrap-style:none;mso-position-horizontal-relative:page;mso-position-vertical-relative:page" stroked="f">
            <v:textbox style="mso-next-textbox:#_x0000_s31483" inset="0,0,0,0">
              <w:txbxContent>
                <w:p w:rsidR="006C4830" w:rsidRDefault="006C48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84" o:spid="_x0000_s1027" type="#_x0000_t202" style="position:absolute;left:0;text-align:left;margin-left:91.95pt;margin-top:638.55pt;width:373.8pt;height:54.65pt;z-index:6;mso-wrap-style:none;mso-position-horizontal-relative:page;mso-position-vertical-relative:page" stroked="f">
            <v:textbox style="mso-next-textbox:#_x0000_s31484" inset="0,0,0,0">
              <w:txbxContent>
                <w:p w:rsidR="006C4830" w:rsidRDefault="006C4830">
                  <w:pPr>
                    <w:pStyle w:val="OCRStyle1"/>
                    <w:ind w:left="14"/>
                    <w:rPr>
                      <w:rtl/>
                    </w:rPr>
                  </w:pPr>
                  <w:r>
                    <w:rPr>
                      <w:rtl/>
                    </w:rPr>
                    <w:t>* נתקבי בכנסת ביום כ''ז בשבט התשמ''ד (.31 בינואר 1984); הצעת החוק ודברי הסבר פורסמו בה''ח 1645,</w:t>
                  </w:r>
                </w:p>
                <w:p w:rsidR="006C4830" w:rsidRDefault="006C483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התשמ"ד, עמ' 34.</w:t>
                  </w:r>
                </w:p>
                <w:p w:rsidR="006C4830" w:rsidRDefault="006C4830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1 ס''ח התשט''ו, עמ' 68; התשי''ט, עמ' 135; התשכ''ד, עמ' 140; התשכ''ו, עמ' 18; התשכ''ט, עמ' 41 ועמי 99;</w:t>
                  </w:r>
                </w:p>
                <w:p w:rsidR="006C4830" w:rsidRPr="006C4830" w:rsidRDefault="006C4830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התשל''ב, עמ' 43; התש"ם, עמ' .94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5" o:spid="_x0000_s1028" type="#_x0000_t202" style="position:absolute;left:0;text-align:left;margin-left:108.6pt;margin-top:575.95pt;width:88.3pt;height:29.7pt;z-index:5;mso-wrap-style:none;mso-position-horizontal-relative:page;mso-position-vertical-relative:page" stroked="f">
            <v:textbox style="mso-next-textbox:#_x0000_s31485" inset="0,0,0,0">
              <w:txbxContent>
                <w:p w:rsidR="006C4830" w:rsidRDefault="006C483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C4830" w:rsidRDefault="006C4830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6" o:spid="_x0000_s1029" type="#_x0000_t202" style="position:absolute;left:0;text-align:left;margin-left:238.1pt;margin-top:578.35pt;width:89.9pt;height:29.7pt;z-index:4;mso-wrap-style:none;mso-position-horizontal-relative:page;mso-position-vertical-relative:page" stroked="f">
            <v:textbox style="mso-next-textbox:#_x0000_s31486" inset="0,0,0,0">
              <w:txbxContent>
                <w:p w:rsidR="006C4830" w:rsidRDefault="006C483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C4830" w:rsidRDefault="006C4830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7" o:spid="_x0000_s1030" type="#_x0000_t202" style="position:absolute;left:0;text-align:left;margin-left:360.05pt;margin-top:601.5pt;width:91.65pt;height:32.25pt;z-index:3;mso-wrap-style:none;mso-position-horizontal-relative:page;mso-position-vertical-relative:page" stroked="f">
            <v:textbox style="mso-next-textbox:#_x0000_s31487" inset="0,0,0,0">
              <w:txbxContent>
                <w:p w:rsidR="006C4830" w:rsidRDefault="006C483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ה רצו ג</w:t>
                  </w:r>
                </w:p>
                <w:p w:rsidR="006C4830" w:rsidRDefault="006C4830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8" o:spid="_x0000_s1031" type="#_x0000_t202" style="position:absolute;left:0;text-align:left;margin-left:91.15pt;margin-top:450.45pt;width:453pt;height:123.95pt;z-index:2;mso-wrap-style:none;mso-position-horizontal-relative:page;mso-position-vertical-relative:page" stroked="f">
            <v:textbox style="mso-next-textbox:#_x0000_s31488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0"/>
                    <w:gridCol w:w="1217"/>
                  </w:tblGrid>
                  <w:tr w:rsidR="006C4830" w:rsidRPr="006C483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C4830" w:rsidRDefault="006C48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 לחוק הדיינים, התשט"ו-1955 1( להלן - החוק העיקרי), המלים "שני</w:t>
                        </w:r>
                      </w:p>
                      <w:p w:rsidR="006C4830" w:rsidRP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נשיאי מועצת הרבנות הראשית שהם" - יימחקו.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C4830" w:rsidRP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6C4830" w:rsidRPr="006C483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(א) לחוק העיקרי, במקום "שני דיינים שייבחרו על ידי חבר הדיינים</w:t>
                        </w:r>
                      </w:p>
                      <w:p w:rsid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לשלוש שנים" יבוא "שני דיינים של בית הדין הרבני הגדול שיבחר חבר דייניו לשלוש</w:t>
                        </w:r>
                      </w:p>
                      <w:p w:rsidR="006C4830" w:rsidRP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C4830" w:rsidRP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6C4830" w:rsidRPr="006C4830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דיין שנבחר לועדת המינויים לפני תחילתו של חוק זה, יוסיף לכהן בועדה עד</w:t>
                        </w:r>
                      </w:p>
                      <w:p w:rsidR="006C4830" w:rsidRP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התקופה שלה הוא נבחר.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C4830" w:rsidRPr="006C4830" w:rsidRDefault="006C48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6C4830" w:rsidRDefault="006C48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89" o:spid="_x0000_s1032" type="#_x0000_t202" style="position:absolute;left:0;text-align:left;margin-left:163.05pt;margin-top:416.8pt;width:248.3pt;height:28.9pt;z-index:1;mso-wrap-style:none;mso-position-horizontal-relative:page;mso-position-vertical-relative:page" stroked="f">
            <v:textbox style="mso-next-textbox:#_x0000_s31489" inset="0,0,0,0">
              <w:txbxContent>
                <w:p w:rsidR="006C4830" w:rsidRPr="006C4830" w:rsidRDefault="006C4830">
                  <w:pPr>
                    <w:pStyle w:val="OCRStyle1"/>
                    <w:ind w:left="40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הדיינים (תיקון מס' 8), התשמ"ד- 1984?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C48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022E20-BFA2-4A5A-AEAA-39EDD5C9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C48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2008-04-07T01:38:00Z</dcterms:created>
  <dcterms:modified xsi:type="dcterms:W3CDTF">2008-04-07T01:38:00Z</dcterms:modified>
</cp:coreProperties>
</file>