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44B3F" w:rsidRDefault="00544B3F">
      <w:pPr>
        <w:rPr>
          <w:rtl/>
        </w:rPr>
      </w:pPr>
    </w:p>
    <w:p w:rsidR="00544B3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150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1500" inset="0,0,0,0">
              <w:txbxContent>
                <w:p w:rsidR="00FA30DC" w:rsidRDefault="00FA30DC">
                  <w:r>
                    <w:rPr>
                      <w:rtl/>
                    </w:rPr>
                    <w:t>93                                          ספר החוקים 1113                כ"ו באדר ב' התשמ"ד 30.03.1984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501" o:spid="_x0000_s1026" type="#_x0000_t202" style="position:absolute;left:0;text-align:left;margin-left:153.5pt;margin-top:669.8pt;width:387.1pt;height:65.15pt;z-index:3;mso-wrap-style:none;mso-position-horizontal-relative:page;mso-position-vertical-relative:page" stroked="f">
            <v:textbox style="mso-next-textbox:#_x0000_s31501" inset="0,0,0,0">
              <w:txbxContent>
                <w:p w:rsidR="00FA30DC" w:rsidRDefault="00FA30DC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י''ז באדר ב' התשמ"ד (21 במרס 1984); הצעת החוק ודברי הסבר פורסמו בה''ח 1655,</w:t>
                  </w:r>
                </w:p>
                <w:p w:rsidR="00FA30DC" w:rsidRDefault="00FA30DC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התשמ"ד, עמ' 115.</w:t>
                  </w:r>
                </w:p>
                <w:p w:rsidR="00FA30DC" w:rsidRPr="00544B3F" w:rsidRDefault="00FA30DC">
                  <w:pPr>
                    <w:pStyle w:val="OCRStyle1"/>
                    <w:ind w:left="155"/>
                  </w:pPr>
                  <w:r>
                    <w:rPr>
                      <w:rtl/>
                    </w:rPr>
                    <w:t>1 ע''ר 1940, תוס' 1, עמ' 191.</w:t>
                  </w:r>
                </w:p>
              </w:txbxContent>
            </v:textbox>
            <w10:wrap anchorx="page" anchory="page"/>
          </v:shape>
        </w:pict>
      </w:r>
      <w:r>
        <w:pict>
          <v:shape id="_x0000_s31502" o:spid="_x0000_s1027" type="#_x0000_t202" style="position:absolute;left:0;text-align:left;margin-left:89.35pt;margin-top:458.3pt;width:452.85pt;height:209.5pt;z-index:2;mso-wrap-style:none;mso-position-horizontal-relative:page;mso-position-vertical-relative:page" stroked="f">
            <v:textbox style="mso-next-textbox:#_x0000_s31502" inset="0,0,0,0">
              <w:txbxContent>
                <w:tbl>
                  <w:tblPr>
                    <w:tblW w:w="48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42"/>
                    <w:gridCol w:w="6991"/>
                  </w:tblGrid>
                  <w:tr w:rsidR="00FA30DC" w:rsidRPr="00544B3F">
                    <w:trPr>
                      <w:jc w:val="right"/>
                    </w:trPr>
                    <w:tc>
                      <w:tcPr>
                        <w:tcW w:w="754" w:type="pct"/>
                      </w:tcPr>
                      <w:p w:rsidR="00FA30DC" w:rsidRPr="00544B3F" w:rsidRDefault="00FA30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65ג</w:t>
                        </w:r>
                      </w:p>
                    </w:tc>
                    <w:tc>
                      <w:tcPr>
                        <w:tcW w:w="4246" w:type="pct"/>
                      </w:tcPr>
                      <w:p w:rsidR="00FA30DC" w:rsidRDefault="00FA30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65ג לפקודת בריאות העם, 1940  1-</w:t>
                        </w:r>
                      </w:p>
                      <w:p w:rsidR="00FA30DC" w:rsidRDefault="00FA30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(1) -</w:t>
                        </w:r>
                      </w:p>
                      <w:p w:rsidR="00FA30DC" w:rsidRDefault="00FA30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ברישה, במקום "בתקנות לקבוע" יבוא "לאחר התייעצות עם ההסתדרות</w:t>
                        </w:r>
                      </w:p>
                      <w:p w:rsidR="00FA30DC" w:rsidRDefault="00FA30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הרפואית בישראל, לקבוע בתקנות";</w:t>
                        </w:r>
                      </w:p>
                      <w:p w:rsidR="00FA30DC" w:rsidRDefault="00FA30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פסקה (א) יבוא:</w:t>
                        </w:r>
                      </w:p>
                      <w:p w:rsidR="00FA30DC" w:rsidRDefault="00FA30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"(א1) הטלת חובת רישום של :</w:t>
                        </w:r>
                      </w:p>
                      <w:p w:rsidR="00FA30DC" w:rsidRDefault="00FA30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מרפאות מסוגים מסויימים, למעט מרפאות של קופת חולים ;</w:t>
                        </w:r>
                      </w:p>
                      <w:p w:rsidR="00FA30DC" w:rsidRDefault="00FA30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לשכה פרטית של רופא או של רופאים שבה מבוצעות</w:t>
                        </w:r>
                      </w:p>
                      <w:p w:rsidR="00FA30DC" w:rsidRDefault="00FA30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כירורגיות שיצויינו, פעולות הרדמה, צינתור או הזרעה</w:t>
                        </w:r>
                      </w:p>
                      <w:p w:rsidR="00FA30DC" w:rsidRDefault="00FA30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מלאכותית, ופעולות רפואיות הנלוות להן;</w:t>
                        </w:r>
                      </w:p>
                      <w:p w:rsidR="00FA30DC" w:rsidRDefault="00FA30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(א2) התנאים שיקויימו במרפאות לצורך מתן שירותי רפואה או</w:t>
                        </w:r>
                      </w:p>
                      <w:p w:rsidR="00FA30DC" w:rsidRPr="00544B3F" w:rsidRDefault="00FA30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טיפול רפואי מסוגים מסויימים ;"</w:t>
                        </w:r>
                      </w:p>
                    </w:tc>
                  </w:tr>
                </w:tbl>
                <w:p w:rsidR="00FA30DC" w:rsidRDefault="00FA30D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503" o:spid="_x0000_s1028" type="#_x0000_t202" style="position:absolute;left:0;text-align:left;margin-left:192.3pt;margin-top:423.65pt;width:304.5pt;height:28.1pt;z-index:1;mso-wrap-style:none;mso-position-horizontal-relative:page;mso-position-vertical-relative:page" stroked="f">
            <v:textbox style="mso-next-textbox:#_x0000_s31503" inset="0,0,0,0">
              <w:txbxContent>
                <w:p w:rsidR="00FA30DC" w:rsidRPr="00544B3F" w:rsidRDefault="00FA30DC">
                  <w:pPr>
                    <w:pStyle w:val="OCRStyle1"/>
                    <w:ind w:left="14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לתיקון פקודת בריאות העם (מס' 9), התשמ"ד-1984 *</w:t>
                  </w:r>
                </w:p>
              </w:txbxContent>
            </v:textbox>
            <w10:wrap anchorx="page" anchory="page"/>
          </v:shape>
        </w:pict>
      </w:r>
    </w:p>
    <w:p w:rsidR="00FA30DC" w:rsidRDefault="00FA30DC">
      <w:pPr>
        <w:rPr>
          <w:rtl/>
        </w:rPr>
      </w:pPr>
      <w:r>
        <w:rPr>
          <w:rtl/>
        </w:rPr>
        <w:br w:type="page"/>
      </w:r>
    </w:p>
    <w:p w:rsidR="00FA30DC" w:rsidRDefault="00000000">
      <w:pPr>
        <w:rPr>
          <w:rtl/>
        </w:rPr>
      </w:pPr>
      <w:r>
        <w:pict>
          <v:shape id="_x0000_s31504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1504" inset="0,0,0,0">
              <w:txbxContent>
                <w:p w:rsidR="00FA30DC" w:rsidRDefault="00FA30DC">
                  <w:r>
                    <w:rPr>
                      <w:rtl/>
                    </w:rPr>
                    <w:t>94                                          ספר החוקים 1113                כ"ו באדר ב' התשמ"ד 30.03.1984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505" o:spid="_x0000_s1030" type="#_x0000_t202" style="position:absolute;left:0;text-align:left;margin-left:385pt;margin-top:271.65pt;width:98.2pt;height:17.4pt;z-index:9;mso-wrap-style:none;mso-position-horizontal-relative:page;mso-position-vertical-relative:page" stroked="f">
            <v:textbox style="mso-next-textbox:#_x0000_s31505" inset="0,0,0,0">
              <w:txbxContent>
                <w:p w:rsidR="00FA30DC" w:rsidRPr="00FA30DC" w:rsidRDefault="00FA30DC">
                  <w:pPr>
                    <w:pStyle w:val="OCRStyle2"/>
                    <w:ind w:left="176"/>
                  </w:pPr>
                  <w:r>
                    <w:rPr>
                      <w:rtl/>
                    </w:rPr>
                    <w:t>2 ס"ח התשל"ג, עמ' 88.</w:t>
                  </w:r>
                </w:p>
              </w:txbxContent>
            </v:textbox>
            <w10:wrap anchorx="page" anchory="page"/>
          </v:shape>
        </w:pict>
      </w:r>
      <w:r>
        <w:pict>
          <v:shape id="_x0000_s31506" o:spid="_x0000_s1031" type="#_x0000_t202" style="position:absolute;left:0;text-align:left;margin-left:110.4pt;margin-top:185.1pt;width:108.9pt;height:39.6pt;z-index:8;mso-wrap-style:none;mso-position-horizontal-relative:page;mso-position-vertical-relative:page" stroked="f">
            <v:textbox style="mso-next-textbox:#_x0000_s31506" inset="0,0,0,0">
              <w:txbxContent>
                <w:p w:rsidR="00FA30DC" w:rsidRDefault="00FA30DC">
                  <w:pPr>
                    <w:pStyle w:val="OCRStyle2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אליעזר שוסטק</w:t>
                  </w:r>
                </w:p>
                <w:p w:rsidR="00FA30DC" w:rsidRDefault="00FA30DC">
                  <w:pPr>
                    <w:pStyle w:val="OCRStyle2"/>
                    <w:ind w:left="572"/>
                  </w:pPr>
                  <w:r>
                    <w:rPr>
                      <w:rtl/>
                    </w:rPr>
                    <w:t>שר הבריאות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1507" o:spid="_x0000_s1032" type="#_x0000_t202" style="position:absolute;left:0;text-align:left;margin-left:244.8pt;margin-top:186.7pt;width:89.9pt;height:32.25pt;z-index:7;mso-wrap-style:none;mso-position-horizontal-relative:page;mso-position-vertical-relative:page" stroked="f">
            <v:textbox style="mso-next-textbox:#_x0000_s31507" inset="0,0,0,0">
              <w:txbxContent>
                <w:p w:rsidR="00FA30DC" w:rsidRDefault="00FA30DC">
                  <w:pPr>
                    <w:pStyle w:val="OCRStyle2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FA30DC" w:rsidRDefault="00FA30DC">
                  <w:pPr>
                    <w:pStyle w:val="OCRStyle2"/>
                    <w:ind w:left="28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508" o:spid="_x0000_s1033" type="#_x0000_t202" style="position:absolute;left:0;text-align:left;margin-left:361.05pt;margin-top:217.2pt;width:120.6pt;height:51.3pt;z-index:6;mso-wrap-style:none;mso-position-horizontal-relative:page;mso-position-vertical-relative:page" stroked="f">
            <v:textbox style="mso-next-textbox:#_x0000_s31508" inset="0,0,0,0">
              <w:txbxContent>
                <w:p w:rsidR="00FA30DC" w:rsidRDefault="00FA30DC">
                  <w:pPr>
                    <w:pStyle w:val="OCRStyle2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מנחם סבידור</w:t>
                  </w:r>
                </w:p>
                <w:p w:rsidR="00FA30DC" w:rsidRDefault="00FA30DC">
                  <w:pPr>
                    <w:pStyle w:val="OCRStyle2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FA30DC" w:rsidRDefault="00FA30DC">
                  <w:pPr>
                    <w:pStyle w:val="OCRStyle2"/>
                    <w:ind w:left="202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509" o:spid="_x0000_s1034" type="#_x0000_t202" style="position:absolute;left:0;text-align:left;margin-left:89pt;margin-top:69.65pt;width:372.05pt;height:112.05pt;z-index:5;mso-wrap-style:none;mso-position-horizontal-relative:page;mso-position-vertical-relative:page" stroked="f">
            <v:textbox style="mso-next-textbox:#_x0000_s31509" inset="0,0,0,0">
              <w:txbxContent>
                <w:p w:rsidR="00FA30DC" w:rsidRDefault="00FA30DC">
                  <w:pPr>
                    <w:pStyle w:val="OCRStyle2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(2) בסעיף קטן (3) -</w:t>
                  </w:r>
                </w:p>
                <w:p w:rsidR="00FA30DC" w:rsidRDefault="00FA30DC">
                  <w:pPr>
                    <w:pStyle w:val="OCRStyle2"/>
                    <w:ind w:left="774"/>
                    <w:rPr>
                      <w:rtl/>
                    </w:rPr>
                  </w:pPr>
                  <w:r>
                    <w:rPr>
                      <w:rtl/>
                    </w:rPr>
                    <w:t>(א) בהגדרת "מרפאה", במקום "מקום המיועד" יבוא "מקום שאיננו בית</w:t>
                  </w:r>
                </w:p>
                <w:p w:rsidR="00FA30DC" w:rsidRDefault="00FA30DC">
                  <w:pPr>
                    <w:pStyle w:val="OCRStyle2"/>
                    <w:ind w:left="770"/>
                    <w:rPr>
                      <w:rtl/>
                    </w:rPr>
                  </w:pPr>
                  <w:r>
                    <w:rPr>
                      <w:rtl/>
                    </w:rPr>
                    <w:t>חולים הטעון רישום לפי פקודה זו או חלק ממנו והמיועד" והמלים "והכל</w:t>
                  </w:r>
                </w:p>
                <w:p w:rsidR="00FA30DC" w:rsidRDefault="00FA30DC">
                  <w:pPr>
                    <w:pStyle w:val="OCRStyle2"/>
                    <w:ind w:left="770"/>
                    <w:rPr>
                      <w:rtl/>
                    </w:rPr>
                  </w:pPr>
                  <w:r>
                    <w:rPr>
                      <w:rtl/>
                    </w:rPr>
                    <w:t>שלא בדרך של אישפוז" - יימחקו;</w:t>
                  </w:r>
                </w:p>
                <w:p w:rsidR="00FA30DC" w:rsidRDefault="00FA30DC">
                  <w:pPr>
                    <w:pStyle w:val="OCRStyle2"/>
                    <w:ind w:left="781"/>
                    <w:rPr>
                      <w:rtl/>
                    </w:rPr>
                  </w:pPr>
                  <w:r>
                    <w:rPr>
                      <w:rtl/>
                    </w:rPr>
                    <w:t>(ב) בסופו יבוא:</w:t>
                  </w:r>
                </w:p>
                <w:p w:rsidR="00FA30DC" w:rsidRDefault="00FA30DC">
                  <w:pPr>
                    <w:pStyle w:val="OCRStyle2"/>
                    <w:ind w:left="1224"/>
                  </w:pPr>
                  <w:r>
                    <w:rPr>
                      <w:rtl/>
                    </w:rPr>
                    <w:t>""קופת חולים" - כמשמעותה בחוק מס מקביל, התשל"ג-21973."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44B3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44B3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DE64ED7-0CB1-40A9-835D-B6F24EDC8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44B3F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FA30D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2008-04-07T01:41:00Z</dcterms:created>
  <dcterms:modified xsi:type="dcterms:W3CDTF">2008-04-07T01:41:00Z</dcterms:modified>
</cp:coreProperties>
</file>