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2990" w:rsidRDefault="00C62990">
      <w:pPr>
        <w:rPr>
          <w:rtl/>
        </w:rPr>
      </w:pPr>
    </w:p>
    <w:p w:rsidR="00C6299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5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559" inset="0,0,0,0">
              <w:txbxContent>
                <w:p w:rsidR="006B29F7" w:rsidRDefault="006B29F7">
                  <w:r>
                    <w:rPr>
                      <w:rtl/>
                    </w:rPr>
                    <w:t>92                                          ספר החוקים 1113                כ"ו באדר ב' התשמ"ד 30.03.1984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60" o:spid="_x0000_s1026" type="#_x0000_t202" style="position:absolute;left:0;text-align:left;margin-left:92.5pt;margin-top:672.35pt;width:388.65pt;height:68.5pt;z-index:3;mso-wrap-style:none;mso-position-horizontal-relative:page;mso-position-vertical-relative:page" stroked="f">
            <v:textbox style="mso-next-textbox:#_x0000_s31560" inset="0,0,0,0">
              <w:txbxContent>
                <w:p w:rsidR="006B29F7" w:rsidRDefault="006B29F7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באדר ב' התשמ"ד (21 במרס 1984), הצעת החוק ודברי הסבר פורסמו בה"ח 1659,</w:t>
                  </w:r>
                </w:p>
                <w:p w:rsidR="006B29F7" w:rsidRDefault="006B29F7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התשמ"ד, עמ' 180.</w:t>
                  </w:r>
                </w:p>
                <w:p w:rsidR="006B29F7" w:rsidRPr="00C62990" w:rsidRDefault="006B29F7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1 ס"ח התשמ"ג, עמ' 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61" o:spid="_x0000_s1027" type="#_x0000_t202" style="position:absolute;left:0;text-align:left;margin-left:90.15pt;margin-top:109.05pt;width:465.3pt;height:557.55pt;z-index:2;mso-wrap-style:none;mso-position-horizontal-relative:page;mso-position-vertical-relative:page" stroked="f">
            <v:textbox style="mso-next-textbox:#_x0000_s31561" inset="0,0,0,0">
              <w:txbxContent>
                <w:tbl>
                  <w:tblPr>
                    <w:tblW w:w="49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0"/>
                    <w:gridCol w:w="1208"/>
                    <w:gridCol w:w="1274"/>
                  </w:tblGrid>
                  <w:tr w:rsidR="006B29F7" w:rsidRPr="00C62990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6B29F7" w:rsidRDefault="006B29F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היטל על נסיעה לחוץ לארץ, התשמ"ג-1983 1 (להלן - החוק</w:t>
                        </w:r>
                      </w:p>
                      <w:p w:rsidR="006B29F7" w:rsidRPr="00C62990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"2,100" יבוא "14,500".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6B29F7" w:rsidRPr="00C62990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6B29F7" w:rsidRPr="00C62990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 -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"ב-16" יבוא "ב-17";</w:t>
                        </w:r>
                      </w:p>
                      <w:p w:rsidR="006B29F7" w:rsidRPr="00C62990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בהגדרת "שער החליפין", בסופה יבוא "שפרסם בנק ישראל".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6B29F7" w:rsidRPr="00C62990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6B29F7" w:rsidRPr="00C62990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 לחוק העיקרי -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בסופו יבוא "באישור ועדת הכספים של הכנסת";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בסופו יבוא "או בשיעור אחר שקבע שר האוצר באישור</w:t>
                        </w:r>
                      </w:p>
                      <w:p w:rsidR="006B29F7" w:rsidRPr="00C62990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הכנסת".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6B29F7" w:rsidRPr="00C62990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6B29F7" w:rsidRPr="00C62990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 (א) לחוק העיקרי -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"הנוסע בתפקיד" יבוא "הממלא תפקיד בכלי הטיס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הוא נוסע, למעט איש צוות כאמור בכלי הסעה פרטי" ;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בסופה יבוא "או על פי רשיון לישיבת ארעי מסוג א/2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(תלמיד)";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במקום "דיפלומט" יבוא "נציג דיפלומטי או קונסולרי" ובסופה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"והכל אם הם אזרחי חוץ, וכן בני זוגם וילדיהם" ;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בסופו יבוא: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איש כמורה הנמצא בישראל על פי אשרה ורשיון לישיבת ארעי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 א/3;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מי שטרם מלאו לו שנתיים ;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ילד תושב חוץ, שטרם מלאו לו 18 שנים;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"ילד תושב חוץ" - ילד שבדרכונו רשום שהוא תושב חוץ או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 הרשום בדרכונו של אחד מהוריו או בדרכונם המשותף, כשלפחות אחד</w:t>
                        </w:r>
                      </w:p>
                      <w:p w:rsidR="006B29F7" w:rsidRPr="00C62990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ההורים הוא תושב חוץ."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6B29F7" w:rsidRPr="00C62990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6B29F7" w:rsidRPr="00C62990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6B29F7" w:rsidRPr="00C62990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4 לחוק העיקרי יבוא:</w:t>
                        </w:r>
                      </w:p>
                    </w:tc>
                    <w:tc>
                      <w:tcPr>
                        <w:tcW w:w="753" w:type="pct"/>
                        <w:vMerge w:val="restart"/>
                      </w:tcPr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6B29F7" w:rsidRPr="00C62990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4א</w:t>
                        </w:r>
                      </w:p>
                    </w:tc>
                  </w:tr>
                  <w:tr w:rsidR="006B29F7">
                    <w:trPr>
                      <w:jc w:val="right"/>
                    </w:trPr>
                    <w:tc>
                      <w:tcPr>
                        <w:tcW w:w="3533" w:type="pct"/>
                      </w:tcPr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שילם אדם היטל וביטל את הנסיעה שבשלה שילם אותו, יוחזר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ההיטל לפי בקשת מי ששילמו; הוחזר סכום ההיטל לאחר תום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ימים מיום תשלומו, תצורף לו ריבית של 156% לשנה מהיום שלאחר</w:t>
                        </w:r>
                      </w:p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הימים ועד יום הוצאת המחאת ההחזר."</w:t>
                        </w:r>
                      </w:p>
                    </w:tc>
                    <w:tc>
                      <w:tcPr>
                        <w:tcW w:w="714" w:type="pct"/>
                      </w:tcPr>
                      <w:p w:rsidR="006B29F7" w:rsidRPr="00C62990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"החזר היטל</w:t>
                        </w:r>
                      </w:p>
                    </w:tc>
                    <w:tc>
                      <w:tcPr>
                        <w:tcW w:w="753" w:type="pct"/>
                        <w:vMerge/>
                      </w:tcPr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B29F7" w:rsidRPr="00C62990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6B29F7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5 לחוק העיקרי, במקום "מי שמנהל אגף המכס והבלו הסמיכו לכך" יבוא</w:t>
                        </w:r>
                      </w:p>
                      <w:p w:rsidR="006B29F7" w:rsidRPr="00C62990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 המכס ומע"מ או מי שהוא הסמיך".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6B29F7" w:rsidRPr="00C62990" w:rsidRDefault="006B2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6B29F7" w:rsidRDefault="006B29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562" o:spid="_x0000_s1028" type="#_x0000_t202" style="position:absolute;left:0;text-align:left;margin-left:143.8pt;margin-top:70.25pt;width:294.45pt;height:33.65pt;z-index:1;mso-wrap-style:none;mso-position-horizontal-relative:page;mso-position-vertical-relative:page" stroked="f">
            <v:textbox style="mso-next-textbox:#_x0000_s31562" inset="0,0,0,0">
              <w:txbxContent>
                <w:p w:rsidR="006B29F7" w:rsidRPr="00C62990" w:rsidRDefault="006B29F7">
                  <w:pPr>
                    <w:pStyle w:val="OCRStyle1"/>
                    <w:ind w:left="19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היטל על נסיעה לחוץ לארץ (תיקון), התשמ"ד-1984 *</w:t>
                  </w:r>
                </w:p>
              </w:txbxContent>
            </v:textbox>
            <w10:wrap anchorx="page" anchory="page"/>
          </v:shape>
        </w:pict>
      </w:r>
    </w:p>
    <w:p w:rsidR="006B29F7" w:rsidRDefault="006B29F7">
      <w:pPr>
        <w:rPr>
          <w:rtl/>
        </w:rPr>
      </w:pPr>
      <w:r>
        <w:rPr>
          <w:rtl/>
        </w:rPr>
        <w:br w:type="page"/>
      </w:r>
    </w:p>
    <w:p w:rsidR="006B29F7" w:rsidRDefault="00000000">
      <w:pPr>
        <w:rPr>
          <w:rtl/>
        </w:rPr>
      </w:pPr>
      <w:r>
        <w:pict>
          <v:shape id="_x0000_s3156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563" inset="0,0,0,0">
              <w:txbxContent>
                <w:p w:rsidR="006B29F7" w:rsidRDefault="006B29F7">
                  <w:r>
                    <w:rPr>
                      <w:rtl/>
                    </w:rPr>
                    <w:t>93                                          ספר החוקים 1113                כ"ו באדר ב' התשמ"ד 30.03.1984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64" o:spid="_x0000_s1030" type="#_x0000_t202" style="position:absolute;left:0;text-align:left;margin-left:450.5pt;margin-top:374.15pt;width:86.7pt;height:14.05pt;z-index:9;mso-wrap-style:none;mso-position-horizontal-relative:page;mso-position-vertical-relative:page" stroked="f">
            <v:textbox style="mso-next-textbox:#_x0000_s31564" inset="0,0,0,0">
              <w:txbxContent>
                <w:p w:rsidR="006B29F7" w:rsidRPr="006B29F7" w:rsidRDefault="006B29F7">
                  <w:pPr>
                    <w:pStyle w:val="OCRStyle2"/>
                    <w:ind w:left="86"/>
                  </w:pPr>
                  <w:r>
                    <w:rPr>
                      <w:rtl/>
                    </w:rPr>
                    <w:t>2 ס"ח התשל"ג,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65" o:spid="_x0000_s1031" type="#_x0000_t202" style="position:absolute;left:0;text-align:left;margin-left:161.8pt;margin-top:286.65pt;width:114.65pt;height:31.5pt;z-index:8;mso-wrap-style:none;mso-position-horizontal-relative:page;mso-position-vertical-relative:page" stroked="f">
            <v:textbox style="mso-next-textbox:#_x0000_s31565" inset="0,0,0,0">
              <w:txbxContent>
                <w:p w:rsidR="006B29F7" w:rsidRDefault="006B29F7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6B29F7" w:rsidRDefault="006B29F7">
                  <w:pPr>
                    <w:pStyle w:val="OCRStyle2"/>
                    <w:ind w:left="60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66" o:spid="_x0000_s1032" type="#_x0000_t202" style="position:absolute;left:0;text-align:left;margin-left:306.15pt;margin-top:289.25pt;width:84.15pt;height:37.05pt;z-index:7;mso-wrap-style:none;mso-position-horizontal-relative:page;mso-position-vertical-relative:page" stroked="f">
            <v:textbox style="mso-next-textbox:#_x0000_s31566" inset="0,0,0,0">
              <w:txbxContent>
                <w:p w:rsidR="006B29F7" w:rsidRDefault="006B29F7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B29F7" w:rsidRDefault="006B29F7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67" o:spid="_x0000_s1033" type="#_x0000_t202" style="position:absolute;left:0;text-align:left;margin-left:422.6pt;margin-top:314pt;width:113.05pt;height:54.45pt;z-index:6;mso-wrap-style:none;mso-position-horizontal-relative:page;mso-position-vertical-relative:page" stroked="f">
            <v:textbox style="mso-next-textbox:#_x0000_s31567" inset="0,0,0,0">
              <w:txbxContent>
                <w:p w:rsidR="006B29F7" w:rsidRDefault="006B29F7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מנחם סבידור</w:t>
                  </w:r>
                </w:p>
                <w:p w:rsidR="006B29F7" w:rsidRDefault="006B29F7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6B29F7" w:rsidRDefault="006B29F7">
                  <w:pPr>
                    <w:pStyle w:val="OCRStyle2"/>
                    <w:ind w:left="126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68" o:spid="_x0000_s1034" type="#_x0000_t202" style="position:absolute;left:0;text-align:left;margin-left:87.55pt;margin-top:68.85pt;width:461.95pt;height:216.2pt;z-index:5;mso-wrap-style:none;mso-position-horizontal-relative:page;mso-position-vertical-relative:page" stroked="f">
            <v:textbox style="mso-next-textbox:#_x0000_s31568" inset="0,0,0,0">
              <w:txbxContent>
                <w:tbl>
                  <w:tblPr>
                    <w:tblW w:w="49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2"/>
                    <w:gridCol w:w="6188"/>
                    <w:gridCol w:w="939"/>
                  </w:tblGrid>
                  <w:tr w:rsidR="006B29F7" w:rsidRPr="006B29F7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6B29F7" w:rsidRP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</w:tc>
                    <w:tc>
                      <w:tcPr>
                        <w:tcW w:w="4243" w:type="pct"/>
                        <w:gridSpan w:val="2"/>
                      </w:tcPr>
                      <w:p w:rsidR="006B29F7" w:rsidRP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6 לחוק העיקרי יבוא:</w:t>
                        </w:r>
                      </w:p>
                    </w:tc>
                  </w:tr>
                  <w:tr w:rsidR="006B29F7" w:rsidRPr="006B29F7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6B29F7" w:rsidRP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6א</w:t>
                        </w:r>
                      </w:p>
                    </w:tc>
                    <w:tc>
                      <w:tcPr>
                        <w:tcW w:w="3684" w:type="pct"/>
                      </w:tcPr>
                      <w:p w:rsid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אדם שעשה אחת מאלה, דינו - מאסר שנה:</w:t>
                        </w:r>
                      </w:p>
                      <w:p w:rsid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 על הוראת סעיף 3 (ב);</w:t>
                        </w:r>
                      </w:p>
                      <w:p w:rsid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מסר ידיעה כוזבת בכוונה להתחמק, או לסייע להתחמק,</w:t>
                        </w:r>
                      </w:p>
                      <w:p w:rsid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ההיטל, או בכוונה לקבל החזר שאינו מגיע לו."</w:t>
                        </w:r>
                      </w:p>
                    </w:tc>
                    <w:tc>
                      <w:tcPr>
                        <w:tcW w:w="559" w:type="pct"/>
                      </w:tcPr>
                      <w:p w:rsidR="006B29F7" w:rsidRP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</w:tr>
                  <w:tr w:rsidR="006B29F7" w:rsidRPr="006B29F7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(שינוי</w:t>
                        </w:r>
                      </w:p>
                      <w:p w:rsidR="006B29F7" w:rsidRP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שיעורים)</w:t>
                        </w:r>
                      </w:p>
                    </w:tc>
                    <w:tc>
                      <w:tcPr>
                        <w:tcW w:w="4243" w:type="pct"/>
                        <w:gridSpan w:val="2"/>
                      </w:tcPr>
                      <w:p w:rsid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הריבית (שינוי שיעורים), התשל"ג-21972, בסוף התוססת הראשונה יבוא:</w:t>
                        </w:r>
                      </w:p>
                      <w:p w:rsidR="006B29F7" w:rsidRP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"(15) סעיף 4א לחוק היטל על נסיעה לחוץ לארץ, התשמ"ג-1983."</w:t>
                        </w:r>
                      </w:p>
                    </w:tc>
                  </w:tr>
                  <w:tr w:rsidR="006B29F7" w:rsidRPr="006B29F7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והוראת</w:t>
                        </w:r>
                      </w:p>
                      <w:p w:rsidR="006B29F7" w:rsidRP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43" w:type="pct"/>
                        <w:gridSpan w:val="2"/>
                      </w:tcPr>
                      <w:p w:rsid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תחולתו של חוק זה לגבי נסיעה שהתקיימה ביום הרביעי שלאחר יום קבלתו</w:t>
                        </w:r>
                      </w:p>
                      <w:p w:rsid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 או לאחריו; מי ששילם היטל לפני היום האמור, ועד היום שקדם לו טרם התקיימה</w:t>
                        </w:r>
                      </w:p>
                      <w:p w:rsid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הנסיעה שבשלה שולם ההיטל, יהא חייב בתשלום נוסף בסכום השווה למחצית סכום</w:t>
                        </w:r>
                      </w:p>
                      <w:p w:rsidR="006B29F7" w:rsidRPr="006B29F7" w:rsidRDefault="006B29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שבתוקף ביום התשלום הנוסף.</w:t>
                        </w:r>
                      </w:p>
                    </w:tc>
                  </w:tr>
                </w:tbl>
                <w:p w:rsidR="006B29F7" w:rsidRDefault="006B29F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6299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844917-C46D-4592-8373-CA861B4C9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6299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B29F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2008-04-07T01:41:00Z</dcterms:created>
  <dcterms:modified xsi:type="dcterms:W3CDTF">2008-04-07T01:41:00Z</dcterms:modified>
</cp:coreProperties>
</file>