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A3EA3" w:rsidRDefault="00CA3EA3">
      <w:pPr>
        <w:rPr>
          <w:rtl/>
        </w:rPr>
      </w:pPr>
    </w:p>
    <w:p w:rsidR="00CA3EA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77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1778" inset="0,0,0,0">
              <w:txbxContent>
                <w:p w:rsidR="006D3E3E" w:rsidRDefault="006D3E3E">
                  <w:r>
                    <w:rPr>
                      <w:rtl/>
                    </w:rPr>
                    <w:t>66                                          ספר החוקים 1107                 כ' באדר א' התשמ"ד 23.02.1984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79" o:spid="_x0000_s1026" type="#_x0000_t202" style="position:absolute;left:0;text-align:left;margin-left:89.35pt;margin-top:660.35pt;width:392.65pt;height:72.65pt;z-index:3;mso-wrap-style:none;mso-position-horizontal-relative:page;mso-position-vertical-relative:page" stroked="f">
            <v:textbox style="mso-next-textbox:#_x0000_s31779" inset="0,0,0,0">
              <w:txbxContent>
                <w:p w:rsidR="006D3E3E" w:rsidRDefault="006D3E3E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י''א באדר א' התשמ''ד (14 בפברואר 1984); הצעת החוק ודברי הסבר פורסמו בה''ח</w:t>
                  </w:r>
                </w:p>
                <w:p w:rsidR="006D3E3E" w:rsidRDefault="006D3E3E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1589, התשמ''ב, עמ' 232.</w:t>
                  </w:r>
                </w:p>
                <w:p w:rsidR="006D3E3E" w:rsidRDefault="006D3E3E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1 ס"ח התשכ"ח, עמ' .108</w:t>
                  </w:r>
                </w:p>
                <w:p w:rsidR="006D3E3E" w:rsidRPr="00CA3EA3" w:rsidRDefault="006D3E3E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2 דיני מדינת ישראל, נוסח חדש 6, עמ' .120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80" o:spid="_x0000_s1027" type="#_x0000_t202" style="position:absolute;left:0;text-align:left;margin-left:83.4pt;margin-top:95.25pt;width:474.4pt;height:564.3pt;z-index:2;mso-wrap-style:none;mso-position-horizontal-relative:page;mso-position-vertical-relative:page" stroked="f">
            <v:textbox style="mso-next-textbox:#_x0000_s31780" inset="0,0,0,0">
              <w:txbxContent>
                <w:tbl>
                  <w:tblPr>
                    <w:tblW w:w="506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0"/>
                    <w:gridCol w:w="1325"/>
                  </w:tblGrid>
                  <w:tr w:rsidR="006D3E3E" w:rsidRPr="00CA3EA3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6D3E3E" w:rsidRDefault="006D3E3E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6D3E3E" w:rsidRDefault="006D3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"קיצבה" - תשלום חדשי המשולם לפי אחד החוקים שבתוספת;</w:t>
                        </w:r>
                      </w:p>
                      <w:p w:rsidR="006D3E3E" w:rsidRDefault="006D3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"מענק" - תשלום שאינו קיצבה, המשולם לפי אחד החוקים שבתוספת, למעט תגמול</w:t>
                        </w:r>
                      </w:p>
                      <w:p w:rsidR="006D3E3E" w:rsidRDefault="006D3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הכנסה;</w:t>
                        </w:r>
                      </w:p>
                      <w:p w:rsidR="006D3E3E" w:rsidRDefault="006D3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"תגמול לפי הכנסה" - תשלום המשולם לפי אחד החוקים שבתוספת ושהבסיס לחישובו</w:t>
                        </w:r>
                      </w:p>
                      <w:p w:rsidR="006D3E3E" w:rsidRDefault="006D3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הכנסתו של הזכאי ;</w:t>
                        </w:r>
                      </w:p>
                      <w:p w:rsidR="006D3E3E" w:rsidRDefault="006D3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מוסמכת" - רשות שנקבעה לפי אחד החוקים שבתוספת לדון ולהחליט בתביעה</w:t>
                        </w:r>
                      </w:p>
                      <w:p w:rsidR="006D3E3E" w:rsidRDefault="006D3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בבקשה לקבלת קיצבה או מענק או תגמול לפי הכנסה;</w:t>
                        </w:r>
                      </w:p>
                      <w:p w:rsidR="006D3E3E" w:rsidRDefault="006D3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"שיעור מעודכן" - שיעור הקיצבה שבתוקף בחודש שקדם ליום התשלום ;</w:t>
                        </w:r>
                      </w:p>
                      <w:p w:rsidR="006D3E3E" w:rsidRDefault="006D3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"שיעור מקורי" - שיעור הקיצבה שהיה בתוקף בתקופה שבעדה משולמת הקיצבה;</w:t>
                        </w:r>
                      </w:p>
                      <w:p w:rsidR="006D3E3E" w:rsidRDefault="006D3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"בן זוג" - לרבות מי שידוע בציבור כבן זוג ;</w:t>
                        </w:r>
                      </w:p>
                      <w:p w:rsidR="006D3E3E" w:rsidRDefault="006D3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"שכר ממוצע" - כמשמעותו בחוק הביטוח הלאומי [נוסח משולב], התשכ"ח-11968</w:t>
                        </w:r>
                      </w:p>
                      <w:p w:rsidR="006D3E3E" w:rsidRDefault="006D3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חוק הביטוח הלאומי);</w:t>
                        </w:r>
                      </w:p>
                      <w:p w:rsidR="006D3E3E" w:rsidRDefault="006D3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"יום התביעה" - היום הראשון בחודש שבו התביעה או הבקשה הוגשה בפועל לרשות</w:t>
                        </w:r>
                      </w:p>
                      <w:p w:rsidR="006D3E3E" w:rsidRDefault="006D3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המוסמכת;</w:t>
                        </w:r>
                      </w:p>
                      <w:p w:rsidR="006D3E3E" w:rsidRDefault="006D3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"יום התשלום" - היום שבו נשלח שיק לזכאי לפי מען שמסר או זוכה חשבונו בבנק או</w:t>
                        </w:r>
                      </w:p>
                      <w:p w:rsidR="006D3E3E" w:rsidRDefault="006D3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הועמד סכום כסף לרשותו בדרך אחרת;</w:t>
                        </w:r>
                      </w:p>
                      <w:p w:rsidR="006D3E3E" w:rsidRDefault="006D3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"הכנסה חדשית ממוצעת" - הכנסת הזכאי והכנסת בן זוגו מן המקורות המפורטים</w:t>
                        </w:r>
                      </w:p>
                      <w:p w:rsidR="006D3E3E" w:rsidRDefault="006D3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 לפקודת מס הכנסה 2, במשך שלושת החדשים שקדמו למועד החלטת הרשות</w:t>
                        </w:r>
                      </w:p>
                      <w:p w:rsidR="006D3E3E" w:rsidRPr="00CA3EA3" w:rsidRDefault="006D3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המוסמכת, מחולקת ב-3.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6D3E3E" w:rsidRPr="00CA3EA3" w:rsidRDefault="006D3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6D3E3E" w:rsidRPr="00CA3EA3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6D3E3E" w:rsidRDefault="006D3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על קיצבה המשולמת בעד תקופה שבין יום התביעה לבין יום התשלום יחולו</w:t>
                        </w:r>
                      </w:p>
                      <w:p w:rsidR="006D3E3E" w:rsidRDefault="006D3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אלה:</w:t>
                        </w:r>
                      </w:p>
                      <w:p w:rsidR="006D3E3E" w:rsidRDefault="006D3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קיצבה המשולמת תוך שלושה חדשים מיום התביעה - תשולם</w:t>
                        </w:r>
                      </w:p>
                      <w:p w:rsidR="006D3E3E" w:rsidRDefault="006D3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המקורי;</w:t>
                        </w:r>
                      </w:p>
                      <w:p w:rsidR="006D3E3E" w:rsidRDefault="006D3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קיצבה המשולמת לאחר שחלפו שלושה חדשים מיום התביעה, אך</w:t>
                        </w:r>
                      </w:p>
                      <w:p w:rsidR="006D3E3E" w:rsidRDefault="006D3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בטרם חלפו 24 חדשים - תשולם בשיעור המעודכן בעד התקופה המתחילה</w:t>
                        </w:r>
                      </w:p>
                      <w:p w:rsidR="006D3E3E" w:rsidRDefault="006D3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התביעה ומסתיימת באחד לחודש שבו חל יום התשלום;</w:t>
                        </w:r>
                      </w:p>
                      <w:p w:rsidR="006D3E3E" w:rsidRDefault="006D3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קיצבה המשולמת לאחר שחלפו 24 חדשים מיום התביעה - תשולם</w:t>
                        </w:r>
                      </w:p>
                      <w:p w:rsidR="006D3E3E" w:rsidRDefault="006D3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המעודכן בעד תקופת 24 החדשים שמיום התביעה ובשיעור המקורי</w:t>
                        </w:r>
                      </w:p>
                      <w:p w:rsidR="006D3E3E" w:rsidRDefault="006D3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יתרת התקופה.</w:t>
                        </w:r>
                      </w:p>
                      <w:p w:rsidR="006D3E3E" w:rsidRDefault="006D3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קיצבה המשולמת בעד תקופה שקדמה ליום התביעה תשולם בשיעורה</w:t>
                        </w:r>
                      </w:p>
                      <w:p w:rsidR="006D3E3E" w:rsidRPr="00CA3EA3" w:rsidRDefault="006D3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המקורי.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6D3E3E" w:rsidRDefault="006D3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קיצבה</w:t>
                        </w:r>
                      </w:p>
                      <w:p w:rsidR="006D3E3E" w:rsidRPr="00CA3EA3" w:rsidRDefault="006D3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המשולמת באיחור</w:t>
                        </w:r>
                      </w:p>
                    </w:tc>
                  </w:tr>
                  <w:tr w:rsidR="006D3E3E" w:rsidRPr="00CA3EA3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6D3E3E" w:rsidRDefault="006D3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(1) היה הזכאי לקיצבה נכה שדרגת נכותו 50% או יותר אך פחות מ-75%</w:t>
                        </w:r>
                      </w:p>
                      <w:p w:rsidR="006D3E3E" w:rsidRPr="00CA3EA3" w:rsidRDefault="006D3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ואין לו בן זוג או ילדים והכנסתו החדשית הממוצעת אינה עולה על 150%</w:t>
                        </w:r>
                      </w:p>
                    </w:tc>
                    <w:tc>
                      <w:tcPr>
                        <w:tcW w:w="768" w:type="pct"/>
                      </w:tcPr>
                      <w:p w:rsidR="006D3E3E" w:rsidRDefault="006D3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קיצבה</w:t>
                        </w:r>
                      </w:p>
                      <w:p w:rsidR="006D3E3E" w:rsidRPr="00CA3EA3" w:rsidRDefault="006D3E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במקרים מיוחדים</w:t>
                        </w:r>
                      </w:p>
                    </w:tc>
                  </w:tr>
                </w:tbl>
                <w:p w:rsidR="006D3E3E" w:rsidRDefault="006D3E3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781" o:spid="_x0000_s1028" type="#_x0000_t202" style="position:absolute;left:0;text-align:left;margin-left:114.9pt;margin-top:66.35pt;width:348.1pt;height:27.9pt;z-index:1;mso-wrap-style:none;mso-position-horizontal-relative:page;mso-position-vertical-relative:page" stroked="f">
            <v:textbox style="mso-next-textbox:#_x0000_s31781" inset="0,0,0,0">
              <w:txbxContent>
                <w:p w:rsidR="006D3E3E" w:rsidRPr="00CA3EA3" w:rsidRDefault="006D3E3E">
                  <w:pPr>
                    <w:pStyle w:val="OCRStyle1"/>
                    <w:ind w:left="241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הקיצבאות (פיצוי בעד איחור בתשלום), התשמ"ד-1984 *</w:t>
                  </w:r>
                </w:p>
              </w:txbxContent>
            </v:textbox>
            <w10:wrap anchorx="page" anchory="page"/>
          </v:shape>
        </w:pict>
      </w:r>
    </w:p>
    <w:p w:rsidR="00EA6FD7" w:rsidRDefault="00EA6FD7">
      <w:pPr>
        <w:rPr>
          <w:rtl/>
        </w:rPr>
      </w:pPr>
      <w:r>
        <w:rPr>
          <w:rtl/>
        </w:rPr>
        <w:br w:type="page"/>
      </w:r>
    </w:p>
    <w:p w:rsidR="00EA6FD7" w:rsidRDefault="00000000">
      <w:pPr>
        <w:rPr>
          <w:rtl/>
        </w:rPr>
      </w:pPr>
      <w:r>
        <w:pict>
          <v:shape id="_x0000_s3178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1782" inset="0,0,0,0">
              <w:txbxContent>
                <w:p w:rsidR="006D3E3E" w:rsidRDefault="006D3E3E">
                  <w:r>
                    <w:rPr>
                      <w:rtl/>
                    </w:rPr>
                    <w:t>67                                          ספר החוקים 1107                 כ' באדר א' התשמ"ד 23.02.1984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83" o:spid="_x0000_s1030" type="#_x0000_t202" style="position:absolute;left:0;text-align:left;margin-left:356.85pt;margin-top:690.05pt;width:186.5pt;height:47.9pt;z-index:6;mso-wrap-style:none;mso-position-horizontal-relative:page;mso-position-vertical-relative:page" stroked="f">
            <v:textbox style="mso-next-textbox:#_x0000_s31783" inset="0,0,0,0">
              <w:txbxContent>
                <w:p w:rsidR="006D3E3E" w:rsidRPr="00EA6FD7" w:rsidRDefault="006D3E3E">
                  <w:pPr>
                    <w:pStyle w:val="OCRStyle2"/>
                    <w:ind w:left="299"/>
                  </w:pPr>
                  <w:r>
                    <w:rPr>
                      <w:rtl/>
                    </w:rPr>
                    <w:t>3 ס"ח התשכ''א, עמ' 197.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84" o:spid="_x0000_s1031" type="#_x0000_t202" style="position:absolute;left:0;text-align:left;margin-left:87.2pt;margin-top:70.5pt;width:457pt;height:609.65pt;z-index:5;mso-wrap-style:none;mso-position-horizontal-relative:page;mso-position-vertical-relative:page" stroked="f">
            <v:textbox style="mso-next-textbox:#_x0000_s31784" inset="0,0,0,0">
              <w:txbxContent>
                <w:tbl>
                  <w:tblPr>
                    <w:tblW w:w="48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1"/>
                    <w:gridCol w:w="7037"/>
                  </w:tblGrid>
                  <w:tr w:rsidR="006D3E3E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6D3E3E" w:rsidRDefault="006D3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קיצור תקוטת</w:t>
                        </w:r>
                      </w:p>
                      <w:p w:rsidR="006D3E3E" w:rsidRPr="00EA6FD7" w:rsidRDefault="006D3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6D3E3E" w:rsidRDefault="006D3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השכר הממוצע או יש לו בן זוג או ילד וההכנסה החדשית הממוצעת</w:t>
                        </w:r>
                      </w:p>
                      <w:p w:rsidR="006D3E3E" w:rsidRDefault="006D3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איבה עולה על 200% מן השכר הממוצע, ייקראו לגביו פסקאות (2) ו- (3)</w:t>
                        </w:r>
                      </w:p>
                      <w:p w:rsidR="006D3E3E" w:rsidRDefault="006D3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שבסעיף 2(א) כאילו במקום "24 חדשים" נאמר בכל מקום "36 חדשים";</w:t>
                        </w:r>
                      </w:p>
                      <w:p w:rsidR="006D3E3E" w:rsidRDefault="006D3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היה הזכאי לקיצבה נכה שדרגת נכותו 75% או יותר והתקיימו בו</w:t>
                        </w:r>
                      </w:p>
                      <w:p w:rsidR="006D3E3E" w:rsidRDefault="006D3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האמורים בפסקה (1), ייקראו לגביו פסקאות (2) ו-(3) שבסעיף</w:t>
                        </w:r>
                      </w:p>
                      <w:p w:rsidR="006D3E3E" w:rsidRDefault="006D3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2(א) כאילו במקום "24 חדשים" נאמר בכל מקום "48 חדשים".</w:t>
                        </w:r>
                      </w:p>
                      <w:p w:rsidR="006D3E3E" w:rsidRDefault="006D3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אף האמור בפסקאות (1) ו-(2), לא יחול תנאי ההכנסה לגבי מי</w:t>
                        </w:r>
                      </w:p>
                      <w:p w:rsidR="006D3E3E" w:rsidRDefault="006D3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שזכאי לקיצבה בשל נכותו לפי חוק הביטוח הלאומי.</w:t>
                        </w:r>
                      </w:p>
                      <w:p w:rsidR="006D3E3E" w:rsidRDefault="006D3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יקבע בתקנות איזה שכר ממוצע יובא בחשבון לענין סעיף זה, אם חל</w:t>
                        </w:r>
                      </w:p>
                      <w:p w:rsidR="006D3E3E" w:rsidRDefault="006D3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בשכר הממוצע במשך שלושת החדשים שלפיהם מחושבת ההכנסה החדשית</w:t>
                        </w:r>
                      </w:p>
                      <w:p w:rsidR="006D3E3E" w:rsidRDefault="006D3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הממוצעת.</w:t>
                        </w:r>
                      </w:p>
                      <w:p w:rsidR="006D3E3E" w:rsidRDefault="006D3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זה, "דרגת נכות" - דרגת הנכות שנקבעה לזכאי לקיצבה</w:t>
                        </w:r>
                      </w:p>
                      <w:p w:rsidR="006D3E3E" w:rsidRDefault="006D3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החוק שלפיו משולמת הקיצבה.</w:t>
                        </w:r>
                      </w:p>
                      <w:p w:rsidR="006D3E3E" w:rsidRDefault="006D3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הרשות המוסמכת רשאית לקבוע כי לא תשולם קיצבה בשיעור מעודכן כאמור</w:t>
                        </w:r>
                      </w:p>
                      <w:p w:rsidR="006D3E3E" w:rsidRDefault="006D3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2(א) ו-3, או כי תשולם כאמור בעד תקופה קצרה מן האמור בהם, אם נוכחה</w:t>
                        </w:r>
                      </w:p>
                      <w:p w:rsidR="006D3E3E" w:rsidRDefault="006D3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שהתובע גרם לעיכוב ההכרעה בתביעתו בכך שלא מסר לרשות המוסמכת ידיעות</w:t>
                        </w:r>
                      </w:p>
                      <w:p w:rsidR="006D3E3E" w:rsidRDefault="006D3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ומסמכים שהיו ברשותו לאחר שנדרש לעשות כן או שנמנע מלשתף פעולה עם הרשות</w:t>
                        </w:r>
                      </w:p>
                      <w:p w:rsidR="006D3E3E" w:rsidRDefault="006D3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המוסמכת בכל דרך אחרת שנדרשה להכרעה בתביעתו או לביצוע תשלום הקיצבה.</w:t>
                        </w:r>
                      </w:p>
                    </w:tc>
                  </w:tr>
                  <w:tr w:rsidR="006D3E3E" w:rsidRPr="00EA6FD7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6D3E3E" w:rsidRDefault="006D3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מענק</w:t>
                        </w:r>
                      </w:p>
                      <w:p w:rsidR="006D3E3E" w:rsidRPr="00EA6FD7" w:rsidRDefault="006D3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המשתלם באיחור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6D3E3E" w:rsidRDefault="006D3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לא שולם מענק תוך שלושה חדשים מיום התביעה, ישולם המענק לפי השיעור</w:t>
                        </w:r>
                      </w:p>
                      <w:p w:rsidR="006D3E3E" w:rsidRPr="00EA6FD7" w:rsidRDefault="006D3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שבתוקף ביום התשלום.</w:t>
                        </w:r>
                      </w:p>
                    </w:tc>
                  </w:tr>
                  <w:tr w:rsidR="006D3E3E" w:rsidRPr="00EA6FD7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6D3E3E" w:rsidRPr="00EA6FD7" w:rsidRDefault="006D3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 סופי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6D3E3E" w:rsidRDefault="006D3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שולמו קיצבה או מענק בשיעור מעודכן כאמור בסעיפים 2, 3 או 5 ולאחר מכן</w:t>
                        </w:r>
                      </w:p>
                      <w:p w:rsidR="006D3E3E" w:rsidRDefault="006D3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שונה שיעורם בתוקף למפרע, לא ישולמו לגביהם סכומים נוספים לפי החישוב האמור</w:t>
                        </w:r>
                      </w:p>
                      <w:p w:rsidR="006D3E3E" w:rsidRPr="00EA6FD7" w:rsidRDefault="006D3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3,2 או 5.</w:t>
                        </w:r>
                      </w:p>
                    </w:tc>
                  </w:tr>
                  <w:tr w:rsidR="006D3E3E" w:rsidRPr="00EA6FD7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6D3E3E" w:rsidRPr="00EA6FD7" w:rsidRDefault="006D3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6D3E3E" w:rsidRDefault="006D3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החלטת הרשות המוסמכת לפי חוק זה כמוה, לענין ערעור, כהחלטה שניתנה לפי</w:t>
                        </w:r>
                      </w:p>
                      <w:p w:rsidR="006D3E3E" w:rsidRPr="00EA6FD7" w:rsidRDefault="006D3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שבתוספת.</w:t>
                        </w:r>
                      </w:p>
                    </w:tc>
                  </w:tr>
                  <w:tr w:rsidR="006D3E3E" w:rsidRPr="00EA6FD7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6D3E3E" w:rsidRDefault="006D3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תחולת חוק</w:t>
                        </w:r>
                      </w:p>
                      <w:p w:rsidR="006D3E3E" w:rsidRDefault="006D3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פסיקת ריבית</w:t>
                        </w:r>
                      </w:p>
                      <w:p w:rsidR="006D3E3E" w:rsidRPr="00EA6FD7" w:rsidRDefault="006D3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והצמדה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6D3E3E" w:rsidRDefault="006D3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חוק פסיקת ריבית והצמדה, התשכ"א-31961, לא יחול לענין קיצבה, מענק</w:t>
                        </w:r>
                      </w:p>
                      <w:p w:rsidR="006D3E3E" w:rsidRPr="00EA6FD7" w:rsidRDefault="006D3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ותגמול לפי הכנסה.</w:t>
                        </w:r>
                      </w:p>
                    </w:tc>
                  </w:tr>
                  <w:tr w:rsidR="006D3E3E" w:rsidRPr="00EA6FD7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6D3E3E" w:rsidRPr="00EA6FD7" w:rsidRDefault="006D3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6D3E3E" w:rsidRDefault="006D3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שר האוצר ממונה על ביצוע חוק זה והוא רשאי להתקין תקנות לביצועו.</w:t>
                        </w:r>
                      </w:p>
                      <w:p w:rsidR="006D3E3E" w:rsidRDefault="006D3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הממונה על ביצוע חוק שבתוספת רשאי, בהסכמת שר האוצר ובאישור</w:t>
                        </w:r>
                      </w:p>
                      <w:p w:rsidR="006D3E3E" w:rsidRDefault="006D3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של הכנסת, להתקין תקנות בדבר -</w:t>
                        </w:r>
                      </w:p>
                      <w:p w:rsidR="006D3E3E" w:rsidRDefault="006D3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חישוב קיצבה המשולמת באיחור, אם לפני כן שולם לתובע חלק מן</w:t>
                        </w:r>
                      </w:p>
                      <w:p w:rsidR="006D3E3E" w:rsidRDefault="006D3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הקיצבה, כמקדמה, כמילווה, או בכל דרך אחרת;</w:t>
                        </w:r>
                      </w:p>
                      <w:p w:rsidR="006D3E3E" w:rsidRDefault="006D3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מתן פיצוי בעד איחור בתשלום של תגמול לפי הכנסה, בדרך של</w:t>
                        </w:r>
                      </w:p>
                      <w:p w:rsidR="006D3E3E" w:rsidRDefault="006D3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ריבית, בדרך של הצמדה למדד המחירים לצרכן או לשכר הממוצע, או בכל</w:t>
                        </w:r>
                      </w:p>
                      <w:p w:rsidR="006D3E3E" w:rsidRDefault="006D3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אחרת;</w:t>
                        </w:r>
                      </w:p>
                      <w:p w:rsidR="006D3E3E" w:rsidRDefault="006D3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הוראות משלימות בדבר חישוב ההכנסה החדשית הממוצעת וכן בדבר</w:t>
                        </w:r>
                      </w:p>
                      <w:p w:rsidR="006D3E3E" w:rsidRPr="00EA6FD7" w:rsidRDefault="006D3E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 שלא יובאו בחשבון לענין חישוב הכנסה חדשית ממוצעת;</w:t>
                        </w:r>
                      </w:p>
                    </w:tc>
                  </w:tr>
                </w:tbl>
                <w:p w:rsidR="006D3E3E" w:rsidRDefault="006D3E3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D3E3E" w:rsidRDefault="006D3E3E">
      <w:pPr>
        <w:rPr>
          <w:rtl/>
        </w:rPr>
      </w:pPr>
      <w:r>
        <w:rPr>
          <w:rtl/>
        </w:rPr>
        <w:br w:type="page"/>
      </w:r>
    </w:p>
    <w:p w:rsidR="006D3E3E" w:rsidRDefault="00000000">
      <w:pPr>
        <w:rPr>
          <w:rtl/>
        </w:rPr>
      </w:pPr>
      <w:r>
        <w:pict>
          <v:shape id="_x0000_s31785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1785" inset="0,0,0,0">
              <w:txbxContent>
                <w:p w:rsidR="006D3E3E" w:rsidRDefault="006D3E3E">
                  <w:r>
                    <w:rPr>
                      <w:rtl/>
                    </w:rPr>
                    <w:t>68                                          ספר החוקים 1107                 כ' באדר א' התשמ"ד 23.02.1984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86" o:spid="_x0000_s1033" type="#_x0000_t202" style="position:absolute;left:0;text-align:left;margin-left:87.35pt;margin-top:648.45pt;width:400.95pt;height:88.3pt;z-index:13;mso-wrap-style:none;mso-position-horizontal-relative:page;mso-position-vertical-relative:page" stroked="f">
            <v:textbox style="mso-next-textbox:#_x0000_s31786" inset="0,0,0,0">
              <w:txbxContent>
                <w:p w:rsidR="006D3E3E" w:rsidRDefault="006D3E3E">
                  <w:pPr>
                    <w:pStyle w:val="OCRStyle3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4 ס"ח התש"ט, עמ' 13. 9 ס"ח התש"ל, עמ' 126.</w:t>
                  </w:r>
                </w:p>
                <w:p w:rsidR="006D3E3E" w:rsidRDefault="006D3E3E">
                  <w:pPr>
                    <w:pStyle w:val="OCRStyle3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5 ס"ח התש"י, עמ' 162. 10 ס"ח התשל"ב, עמ' .87</w:t>
                  </w:r>
                </w:p>
                <w:p w:rsidR="006D3E3E" w:rsidRDefault="006D3E3E">
                  <w:pPr>
                    <w:pStyle w:val="OCRStyle3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6 ס"ח התשי"ד, עמ' 76. 11 ס"ח התשמ"א, עמ' .30</w:t>
                  </w:r>
                </w:p>
                <w:p w:rsidR="006D3E3E" w:rsidRDefault="006D3E3E">
                  <w:pPr>
                    <w:pStyle w:val="OCRStyle3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7 ס"ח התשי"ז, עמ' 103. 12 ס"ח התשמ"א, עמ' .163</w:t>
                  </w:r>
                </w:p>
                <w:p w:rsidR="006D3E3E" w:rsidRPr="006D3E3E" w:rsidRDefault="006D3E3E">
                  <w:pPr>
                    <w:pStyle w:val="OCRStyle3"/>
                    <w:ind w:left="238"/>
                  </w:pPr>
                  <w:r>
                    <w:rPr>
                      <w:rtl/>
                    </w:rPr>
                    <w:t>8 ס"ח התשי"ט, עמ' 276. 13 ס"ח התשמ"א, עמ' .65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87" o:spid="_x0000_s1034" type="#_x0000_t202" style="position:absolute;left:0;text-align:left;margin-left:108.15pt;margin-top:574.4pt;width:116.25pt;height:47.7pt;z-index:12;mso-wrap-style:none;mso-position-horizontal-relative:page;mso-position-vertical-relative:page" stroked="f">
            <v:textbox style="mso-next-textbox:#_x0000_s31787" inset="0,0,0,0">
              <w:txbxContent>
                <w:p w:rsidR="006D3E3E" w:rsidRDefault="006D3E3E">
                  <w:pPr>
                    <w:pStyle w:val="OCRStyle3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יגאל כהן-אורגד</w:t>
                  </w:r>
                </w:p>
                <w:p w:rsidR="006D3E3E" w:rsidRDefault="006D3E3E">
                  <w:pPr>
                    <w:pStyle w:val="OCRStyle3"/>
                    <w:ind w:left="69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88" o:spid="_x0000_s1035" type="#_x0000_t202" style="position:absolute;left:0;text-align:left;margin-left:243.4pt;margin-top:573.4pt;width:96.45pt;height:43.75pt;z-index:11;mso-wrap-style:none;mso-position-horizontal-relative:page;mso-position-vertical-relative:page" stroked="f">
            <v:textbox style="mso-next-textbox:#_x0000_s31788" inset="0,0,0,0">
              <w:txbxContent>
                <w:p w:rsidR="006D3E3E" w:rsidRDefault="006D3E3E">
                  <w:pPr>
                    <w:pStyle w:val="OCRStyle3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6D3E3E" w:rsidRDefault="006D3E3E">
                  <w:pPr>
                    <w:pStyle w:val="OCRStyle3"/>
                    <w:ind w:left="33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89" o:spid="_x0000_s1036" type="#_x0000_t202" style="position:absolute;left:0;text-align:left;margin-left:374.45pt;margin-top:603.1pt;width:102.35pt;height:35.45pt;z-index:10;mso-wrap-style:none;mso-position-horizontal-relative:page;mso-position-vertical-relative:page" stroked="f">
            <v:textbox style="mso-next-textbox:#_x0000_s31789" inset="0,0,0,0">
              <w:txbxContent>
                <w:p w:rsidR="006D3E3E" w:rsidRDefault="006D3E3E">
                  <w:pPr>
                    <w:pStyle w:val="OCRStyle3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6D3E3E" w:rsidRDefault="006D3E3E">
                  <w:pPr>
                    <w:pStyle w:val="OCRStyle3"/>
                    <w:ind w:left="52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90" o:spid="_x0000_s1037" type="#_x0000_t202" style="position:absolute;left:0;text-align:left;margin-left:87.35pt;margin-top:330.05pt;width:384.5pt;height:241.75pt;z-index:9;mso-wrap-style:none;mso-position-horizontal-relative:page;mso-position-vertical-relative:page" stroked="f">
            <v:textbox style="mso-next-textbox:#_x0000_s31790" inset="0,0,0,0">
              <w:txbxContent>
                <w:p w:rsidR="006D3E3E" w:rsidRDefault="006D3E3E">
                  <w:pPr>
                    <w:pStyle w:val="OCRStyle3"/>
                    <w:ind w:left="2956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</w:t>
                  </w:r>
                </w:p>
                <w:p w:rsidR="006D3E3E" w:rsidRDefault="006D3E3E">
                  <w:pPr>
                    <w:pStyle w:val="OCRStyle3"/>
                    <w:ind w:left="2912"/>
                    <w:rPr>
                      <w:rtl/>
                    </w:rPr>
                  </w:pPr>
                  <w:r>
                    <w:rPr>
                      <w:rtl/>
                    </w:rPr>
                    <w:t>(סעיף 1)</w:t>
                  </w:r>
                </w:p>
                <w:p w:rsidR="006D3E3E" w:rsidRDefault="006D3E3E">
                  <w:pPr>
                    <w:pStyle w:val="OCRStyle3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(1) חוק החיילים המשוחררים (החזרה לעבודה), התש"ט-1949 4:</w:t>
                  </w:r>
                </w:p>
                <w:p w:rsidR="006D3E3E" w:rsidRDefault="006D3E3E">
                  <w:pPr>
                    <w:pStyle w:val="OCRStyle3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(2) חוק משפחות חיילים שנספו במערכה (תגמולים ושיקום), התש"י-81950;</w:t>
                  </w:r>
                </w:p>
                <w:p w:rsidR="006D3E3E" w:rsidRDefault="006D3E3E">
                  <w:pPr>
                    <w:pStyle w:val="OCRStyle3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(3) חוק נכי המלחמה בנאצים, התשי''ד-1954; 6</w:t>
                  </w:r>
                </w:p>
                <w:p w:rsidR="006D3E3E" w:rsidRDefault="006D3E3E">
                  <w:pPr>
                    <w:pStyle w:val="OCRStyle3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(4) חוק נכי רדיפות הנאצים, התשי"ז-1957 7;</w:t>
                  </w:r>
                </w:p>
                <w:p w:rsidR="006D3E3E" w:rsidRDefault="006D3E3E">
                  <w:pPr>
                    <w:pStyle w:val="OCRStyle3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(5) חוק הנכים (תגמולים ושיקום), התשי"ט-1959 [נוסח משולב]8;</w:t>
                  </w:r>
                </w:p>
                <w:p w:rsidR="006D3E3E" w:rsidRDefault="006D3E3E">
                  <w:pPr>
                    <w:pStyle w:val="OCRStyle3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(6) חוק הביטוח הלאומי [נוסח משולב], התשכ"ח-1968 ;</w:t>
                  </w:r>
                </w:p>
                <w:p w:rsidR="006D3E3E" w:rsidRDefault="006D3E3E">
                  <w:pPr>
                    <w:pStyle w:val="OCRStyle3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(7) חוק התגמולים לנפגעי פעולות איבה, התש"ל-91970;</w:t>
                  </w:r>
                </w:p>
                <w:p w:rsidR="006D3E3E" w:rsidRDefault="006D3E3E">
                  <w:pPr>
                    <w:pStyle w:val="OCRStyle3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(8) חוק המזונות (הבטחת תשלום), התשל"ב-101972 ;</w:t>
                  </w:r>
                </w:p>
                <w:p w:rsidR="006D3E3E" w:rsidRDefault="006D3E3E">
                  <w:pPr>
                    <w:pStyle w:val="OCRStyle3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(9) חוק הבטחת הכנסה, התשמ"א-1980 ;11</w:t>
                  </w:r>
                </w:p>
                <w:p w:rsidR="006D3E3E" w:rsidRDefault="006D3E3E">
                  <w:pPr>
                    <w:pStyle w:val="OCRStyle3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(10) חוק המשטרה (נכים ונספים), התשמ"א-121981;</w:t>
                  </w:r>
                </w:p>
                <w:p w:rsidR="006D3E3E" w:rsidRPr="006D3E3E" w:rsidRDefault="006D3E3E">
                  <w:pPr>
                    <w:pStyle w:val="OCRStyle3"/>
                    <w:ind w:left="454"/>
                  </w:pPr>
                  <w:r>
                    <w:rPr>
                      <w:rtl/>
                    </w:rPr>
                    <w:t>(11) חוק שירות בתי הסוהר (נכים ונספים), התשמ"א-1981 13.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91" o:spid="_x0000_s1038" type="#_x0000_t202" style="position:absolute;left:0;text-align:left;margin-left:80.85pt;margin-top:68.5pt;width:482.7pt;height:255.8pt;z-index:8;mso-wrap-style:none;mso-position-horizontal-relative:page;mso-position-vertical-relative:page" stroked="f">
            <v:textbox style="mso-next-textbox:#_x0000_s31791" inset="0,0,0,0">
              <w:txbxContent>
                <w:tbl>
                  <w:tblPr>
                    <w:tblW w:w="51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26"/>
                    <w:gridCol w:w="1051"/>
                  </w:tblGrid>
                  <w:tr w:rsidR="006D3E3E" w:rsidRPr="006D3E3E">
                    <w:trPr>
                      <w:jc w:val="right"/>
                    </w:trPr>
                    <w:tc>
                      <w:tcPr>
                        <w:tcW w:w="4401" w:type="pct"/>
                      </w:tcPr>
                      <w:p w:rsidR="006D3E3E" w:rsidRDefault="006D3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כללים למתן פיצוי בעד איחור בתשלום קיצבה, מענק או תגמול לפי</w:t>
                        </w:r>
                      </w:p>
                      <w:p w:rsidR="006D3E3E" w:rsidRDefault="006D3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הכנסה, שלקבלתם לא נדרשת הגשת תביעה;</w:t>
                        </w:r>
                      </w:p>
                      <w:p w:rsidR="006D3E3E" w:rsidRDefault="006D3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כללים למתן פיצוי בעד איחור בתשלום קיצבה, מענק או תגמול לפי</w:t>
                        </w:r>
                      </w:p>
                      <w:p w:rsidR="006D3E3E" w:rsidRDefault="006D3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לאחר שהתשלום חודש אחרי הפסקה שנגרמה שלא בשל מעשה או</w:t>
                        </w:r>
                      </w:p>
                      <w:p w:rsidR="006D3E3E" w:rsidRDefault="006D3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מחדל של הזכאי;</w:t>
                        </w:r>
                      </w:p>
                      <w:p w:rsidR="006D3E3E" w:rsidRDefault="006D3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כללים למתן פיצוי בעד איחור בתשלום קיצבה, מענק או תגמול לפי</w:t>
                        </w:r>
                      </w:p>
                      <w:p w:rsidR="006D3E3E" w:rsidRDefault="006D3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למי שהוראות סעיפים 68ג(א) או 82ג(א) לחוק הביטוח הלאומי</w:t>
                        </w:r>
                      </w:p>
                      <w:p w:rsidR="006D3E3E" w:rsidRDefault="006D3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חלות עליו.</w:t>
                        </w:r>
                      </w:p>
                      <w:p w:rsidR="006D3E3E" w:rsidRDefault="006D3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שר האוצר רשאי, בצו, להוסיף חוק לתוספת, בהסכמת השר הממונה על ביצוע</w:t>
                        </w:r>
                      </w:p>
                      <w:p w:rsidR="006D3E3E" w:rsidRDefault="006D3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חוק ובאישור ועדת הכספים של הכנסת.</w:t>
                        </w:r>
                      </w:p>
                    </w:tc>
                    <w:tc>
                      <w:tcPr>
                        <w:tcW w:w="599" w:type="pct"/>
                      </w:tcPr>
                      <w:p w:rsidR="006D3E3E" w:rsidRPr="006D3E3E" w:rsidRDefault="006D3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הרחבה</w:t>
                        </w:r>
                      </w:p>
                    </w:tc>
                  </w:tr>
                  <w:tr w:rsidR="006D3E3E" w:rsidRPr="006D3E3E">
                    <w:trPr>
                      <w:jc w:val="right"/>
                    </w:trPr>
                    <w:tc>
                      <w:tcPr>
                        <w:tcW w:w="4401" w:type="pct"/>
                      </w:tcPr>
                      <w:p w:rsidR="006D3E3E" w:rsidRDefault="006D3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חוק זה יחול אף אם התביעה או הבקשה לתשלום קיצבה, מענק או תגמול</w:t>
                        </w:r>
                      </w:p>
                      <w:p w:rsidR="006D3E3E" w:rsidRDefault="006D3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הכנסה הוגשו לרשות המוסמכת לפני יום תחילתו.</w:t>
                        </w:r>
                      </w:p>
                      <w:p w:rsidR="006D3E3E" w:rsidRDefault="006D3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סעיפים 2, 3, 5 ו-9(ב) לא יחולו על קיצבה, מענק או תגמול לפי</w:t>
                        </w:r>
                      </w:p>
                      <w:p w:rsidR="006D3E3E" w:rsidRPr="006D3E3E" w:rsidRDefault="006D3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הכנסה, ששולמו לפני יום תחילתו של חוק זה.</w:t>
                        </w:r>
                      </w:p>
                    </w:tc>
                    <w:tc>
                      <w:tcPr>
                        <w:tcW w:w="599" w:type="pct"/>
                      </w:tcPr>
                      <w:p w:rsidR="006D3E3E" w:rsidRPr="006D3E3E" w:rsidRDefault="006D3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  <w:tr w:rsidR="006D3E3E" w:rsidRPr="006D3E3E">
                    <w:trPr>
                      <w:jc w:val="right"/>
                    </w:trPr>
                    <w:tc>
                      <w:tcPr>
                        <w:tcW w:w="4401" w:type="pct"/>
                      </w:tcPr>
                      <w:p w:rsidR="006D3E3E" w:rsidRPr="006D3E3E" w:rsidRDefault="006D3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תחילתו של חוק זה ביום כ"ז באדר אי התשמייד (1 במרס 1984).</w:t>
                        </w:r>
                      </w:p>
                    </w:tc>
                    <w:tc>
                      <w:tcPr>
                        <w:tcW w:w="599" w:type="pct"/>
                      </w:tcPr>
                      <w:p w:rsidR="006D3E3E" w:rsidRPr="006D3E3E" w:rsidRDefault="006D3E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תחייה</w:t>
                        </w:r>
                      </w:p>
                    </w:tc>
                  </w:tr>
                </w:tbl>
                <w:p w:rsidR="006D3E3E" w:rsidRDefault="006D3E3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A3EA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3EA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1AFAE13-73EF-45E0-ACB1-21990D959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A3EA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A6FD7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6D3E3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2008-04-07T01:39:00Z</dcterms:created>
  <dcterms:modified xsi:type="dcterms:W3CDTF">2008-04-07T01:39:00Z</dcterms:modified>
</cp:coreProperties>
</file>