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7330" w:rsidRDefault="00D27330">
      <w:pPr>
        <w:rPr>
          <w:rtl/>
        </w:rPr>
      </w:pPr>
    </w:p>
    <w:p w:rsidR="00D273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92" inset="0,0,0,0">
              <w:txbxContent>
                <w:p w:rsidR="00CF2678" w:rsidRDefault="00CF2678">
                  <w:r>
                    <w:rPr>
                      <w:rtl/>
                    </w:rPr>
                    <w:t>69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3" o:spid="_x0000_s1026" type="#_x0000_t202" style="position:absolute;left:0;text-align:left;margin-left:158pt;margin-top:657.1pt;width:390.25pt;height:74.25pt;z-index:3;mso-wrap-style:none;mso-position-horizontal-relative:page;mso-position-vertical-relative:page" stroked="f">
            <v:textbox style="mso-next-textbox:#_x0000_s31793" inset="0,0,0,0">
              <w:txbxContent>
                <w:p w:rsidR="00CF2678" w:rsidRDefault="00CF267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התשמ"ד (.14 בפברואר 1984); הצעת החוק ודברי הסבר טורסמו בה"ח</w:t>
                  </w:r>
                </w:p>
                <w:p w:rsidR="00CF2678" w:rsidRDefault="00CF2678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1660, התשמ"ד, עמ' 157.</w:t>
                  </w:r>
                </w:p>
                <w:p w:rsidR="00CF2678" w:rsidRDefault="00CF267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ס"ח התשי"ד, עמ' .192</w:t>
                  </w:r>
                </w:p>
                <w:p w:rsidR="00CF2678" w:rsidRPr="00D27330" w:rsidRDefault="00CF267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2 ס"ח התשמ"ב,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4" o:spid="_x0000_s1027" type="#_x0000_t202" style="position:absolute;left:0;text-align:left;margin-left:83.75pt;margin-top:95.35pt;width:476.8pt;height:556pt;z-index:2;mso-wrap-style:none;mso-position-horizontal-relative:page;mso-position-vertical-relative:page" stroked="f">
            <v:textbox style="mso-next-textbox:#_x0000_s3179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263"/>
                  </w:tblGrid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הממשלה מורשית בזה ללוות, בשם המדינה, מילויה קצר מועד, ולהוציא למטרה זו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חוב, ובלבד שסך כל יתרת המילווה במחזור לא תעלה על 10,000 מיליון שקלים.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סדרות של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יהיו רשומות על שם ויוצאו בסדרות.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וערובה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הסכומים המשתלמים לפי איגרות החוב וכל ההוצאות הכרוכות בביצוע חוק זה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של המדינה ומתוך נכסיה.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במקור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ישראל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הממשלה תמכור את איגרות החוב לבנק ישראל בלבד.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ארעית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איגרות החוב שיהיו בבעלות בנק ישראל ייחשבו כמקדמה ארעית לסי סעיף 45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בנק ישראל, התשי"ד-1954. 1.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מוניטריות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בנק ישראל ימכור את איגרות החוב לציבור ויקנה אותן ממנו, כל אימת שהדבר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נחוץ לדעת נגיד בנק ישראל להרחבתם או לצמצומם של אמצעי התשלום כמשמעותם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 לחוק בנק ישראל, התשי"ד-1954, וכדי למלא את תפקידי בנק ישראל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3 לחוק האמור.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תנאים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סדרות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האוצר באישור ועדת הכספים של הכנסת (להלן - הועדה), יקבע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עניינים אלה לגבי כל סוג סדרות של איגרות חוב -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(1) התקופה אשר לה יוצאו איגרות החוב ודרכי פדיונן;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המחיר שבו יימכרו איגרות החוב לבנק ישראל או הרשאה לשר האוצר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שהוא הסמיך לקבוע את המחיר בתוך טווח מחירים, הכל בין בשוויץ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ובין בפחות או ביותר ממנו;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נוסחן של איגרות החוב.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הועדה, רשאי לקבוע בתקנות לגבי כל סדרה או סוג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סדרות הוראות בעניינים אלה;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בני אדם אשר להם ניתן למכור את איגרות החוב או שיהיו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לרכשן, לרבות המטרות שלשמן רשאי אותו סוג בני אדם למכור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לרכוש את איגרות החוב;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 ממס, כולו או חלקו, על ההפרש שבין השווי הנקוב של איגרות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לבין מחיר המכירה הראשונה של אותה סדרה על ידי בנק ישראל;</w:t>
                        </w:r>
                      </w:p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בקביעה כאמור כדי לפגוע באמור בסעיף 20 לחוק מס הכנסה (מיסוי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אינפלציה), התשמ"ב-21982.</w:t>
                        </w:r>
                      </w:p>
                    </w:tc>
                  </w:tr>
                  <w:tr w:rsidR="00CF2678" w:rsidRPr="00D27330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תנאים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F2678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שר האוצר או מי שהוא הסמיך יקבע לגבי כל סדרה של איגרות חוב</w:t>
                        </w:r>
                      </w:p>
                      <w:p w:rsidR="00CF2678" w:rsidRPr="00D27330" w:rsidRDefault="00CF26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עניינים אלה:</w:t>
                        </w:r>
                      </w:p>
                    </w:tc>
                  </w:tr>
                </w:tbl>
                <w:p w:rsidR="00CF2678" w:rsidRDefault="00CF26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95" o:spid="_x0000_s1028" type="#_x0000_t202" style="position:absolute;left:0;text-align:left;margin-left:242.95pt;margin-top:66.45pt;width:212.85pt;height:28.1pt;z-index:1;mso-wrap-style:none;mso-position-horizontal-relative:page;mso-position-vertical-relative:page" stroked="f">
            <v:textbox style="mso-next-textbox:#_x0000_s31795" inset="0,0,0,0">
              <w:txbxContent>
                <w:p w:rsidR="00CF2678" w:rsidRPr="00D27330" w:rsidRDefault="00CF2678">
                  <w:pPr>
                    <w:pStyle w:val="OCRStyle1"/>
                    <w:ind w:left="9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קצר מועד, התשמ"ד-1984 *</w:t>
                  </w:r>
                </w:p>
              </w:txbxContent>
            </v:textbox>
            <w10:wrap anchorx="page" anchory="page"/>
          </v:shape>
        </w:pict>
      </w:r>
    </w:p>
    <w:p w:rsidR="00CF2678" w:rsidRDefault="00CF2678">
      <w:pPr>
        <w:rPr>
          <w:rtl/>
        </w:rPr>
      </w:pPr>
      <w:r>
        <w:rPr>
          <w:rtl/>
        </w:rPr>
        <w:br w:type="page"/>
      </w:r>
    </w:p>
    <w:p w:rsidR="00CF2678" w:rsidRDefault="00000000">
      <w:pPr>
        <w:rPr>
          <w:rtl/>
        </w:rPr>
      </w:pPr>
      <w:r>
        <w:pict>
          <v:shape id="_x0000_s3179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796" inset="0,0,0,0">
              <w:txbxContent>
                <w:p w:rsidR="00CF2678" w:rsidRDefault="00CF2678">
                  <w:r>
                    <w:rPr>
                      <w:rtl/>
                    </w:rPr>
                    <w:t>70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7" o:spid="_x0000_s1030" type="#_x0000_t202" style="position:absolute;left:0;text-align:left;margin-left:94.75pt;margin-top:692.7pt;width:175.8pt;height:39.6pt;z-index:10;mso-wrap-style:none;mso-position-horizontal-relative:page;mso-position-vertical-relative:page" stroked="f">
            <v:textbox style="mso-next-textbox:#_x0000_s31797" inset="0,0,0,0">
              <w:txbxContent>
                <w:p w:rsidR="00CF2678" w:rsidRDefault="00CF26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798" o:spid="_x0000_s1031" type="#_x0000_t202" style="position:absolute;left:0;text-align:left;margin-left:372.75pt;margin-top:632.3pt;width:116.4pt;height:24.75pt;z-index:9;mso-wrap-style:none;mso-position-horizontal-relative:page;mso-position-vertical-relative:page" stroked="f">
            <v:textbox style="mso-next-textbox:#_x0000_s31798" inset="0,0,0,0">
              <w:txbxContent>
                <w:p w:rsidR="00CF2678" w:rsidRPr="00CF2678" w:rsidRDefault="00CF2678">
                  <w:pPr>
                    <w:pStyle w:val="OCRStyle2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התשמ"ב,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9" o:spid="_x0000_s1032" type="#_x0000_t202" style="position:absolute;left:0;text-align:left;margin-left:99.7pt;margin-top:563pt;width:122.15pt;height:38pt;z-index:8;mso-wrap-style:none;mso-position-horizontal-relative:page;mso-position-vertical-relative:page" stroked="f">
            <v:textbox style="mso-next-textbox:#_x0000_s31799" inset="0,0,0,0">
              <w:txbxContent>
                <w:p w:rsidR="00CF2678" w:rsidRDefault="00CF2678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CF2678" w:rsidRDefault="00CF2678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0" o:spid="_x0000_s1033" type="#_x0000_t202" style="position:absolute;left:0;text-align:left;margin-left:246.65pt;margin-top:563pt;width:87.5pt;height:31.5pt;z-index:7;mso-wrap-style:none;mso-position-horizontal-relative:page;mso-position-vertical-relative:page" stroked="f">
            <v:textbox style="mso-next-textbox:#_x0000_s31800" inset="0,0,0,0">
              <w:txbxContent>
                <w:p w:rsidR="00CF2678" w:rsidRDefault="00CF2678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F2678" w:rsidRDefault="00CF2678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,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1" o:spid="_x0000_s1034" type="#_x0000_t202" style="position:absolute;left:0;text-align:left;margin-left:374.55pt;margin-top:590.35pt;width:89.9pt;height:28.9pt;z-index:6;mso-wrap-style:none;mso-position-horizontal-relative:page;mso-position-vertical-relative:page" stroked="f">
            <v:textbox style="mso-next-textbox:#_x0000_s31801" inset="0,0,0,0">
              <w:txbxContent>
                <w:p w:rsidR="00CF2678" w:rsidRDefault="00CF2678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2678" w:rsidRDefault="00CF2678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02" o:spid="_x0000_s1035" type="#_x0000_t202" style="position:absolute;left:0;text-align:left;margin-left:82.5pt;margin-top:69.8pt;width:482.55pt;height:486.7pt;z-index:5;mso-wrap-style:none;mso-position-horizontal-relative:page;mso-position-vertical-relative:page" stroked="f">
            <v:textbox style="mso-next-textbox:#_x0000_s31802" inset="0,0,0,0">
              <w:txbxContent>
                <w:tbl>
                  <w:tblPr>
                    <w:tblW w:w="5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8"/>
                    <w:gridCol w:w="1356"/>
                  </w:tblGrid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 הסדרה;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הוצאתה;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השווי הנקוב של איגרות החוב;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סך כל שוויה הנקוב;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פדיון איגרות החוב;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אם נקבע מחיר של סדרה בתור טווח של מחירים - המחיר שנקבע.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קביעה כאמור תפורסם ברשומות תור 25 ימים מיום הוצאת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הסדרה.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האוצר, באישור הועדה, רשאי להגדיל בצו את הסכום הנקוב בסעיף 1, עד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של 20,000 מיליון שקלים.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סכום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הנהלת ענייני המילווה תהיה בידי בנק ישראל (להלן - המינהלה).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המינהלה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המינהלה תנהל פנקס שבו יירשמו שמותיהם ומעניהם של בעלי איגרות החוב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ושוויין הנקוב של איגרות החוב שבבעלותם.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איגרות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איגרות החוב ניתנות להעברה, בכפוף לכל הגבלה שתיקבע לפי סעיף 7 (ב) (1),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העברה חתום בידי המעביר והנעבר; כתב ההעברה יימסר למינהלה והיא תרשום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את ההעברה.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המינהלה רשאית, על אף האמור בחוק זה, לנהל רישום של איגרות חוב שנרכשו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שהועברו, בלי להוציא את איגרות החוב.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רכישה ללא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איגרות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על אף האמור בסעיף 6 לחוק למימון מבצע שלום הגליל, התשמ"ב-81982,</w:t>
                        </w:r>
                      </w:p>
                      <w:p w:rsid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איגרות החוב תהיה פטורה מן ההיטל לפי פרק א' לחוק האמור.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החוב והעברתן פטורות ממס בולים.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</w:tr>
                  <w:tr w:rsidR="00CF2678" w:rsidRPr="00CF2678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האוצר ממונה על ביצוע חוק זה והוא רשאי להתקין תקנות בכל ענין הנוגע</w:t>
                        </w:r>
                      </w:p>
                      <w:p w:rsidR="00CF2678" w:rsidRPr="00CF2678" w:rsidRDefault="00CF26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F2678" w:rsidRPr="00CF2678" w:rsidRDefault="00CF26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F2678" w:rsidRDefault="00CF26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73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03AAA5-FD7D-45AC-A6E3-0CC27382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73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F267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2008-04-07T01:39:00Z</dcterms:created>
  <dcterms:modified xsi:type="dcterms:W3CDTF">2008-04-07T01:40:00Z</dcterms:modified>
</cp:coreProperties>
</file>