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327C" w:rsidRDefault="0091327C">
      <w:pPr>
        <w:rPr>
          <w:rtl/>
        </w:rPr>
      </w:pPr>
    </w:p>
    <w:p w:rsidR="009132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38" inset="0,0,0,0">
              <w:txbxContent>
                <w:p w:rsidR="0091327C" w:rsidRDefault="0091327C">
                  <w:r>
                    <w:rPr>
                      <w:rtl/>
                    </w:rPr>
                    <w:t>88                                           ספר החוקים 736                  י"ד בתמוז התשל"ד 04.07.1974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9" o:spid="_x0000_s1026" type="#_x0000_t202" style="position:absolute;left:0;text-align:left;margin-left:77.85pt;margin-top:645.25pt;width:387.5pt;height:103.35pt;z-index:6;mso-position-horizontal-relative:page;mso-position-vertical-relative:page" stroked="f">
            <v:textbox style="mso-next-textbox:#_x0000_s32139" inset="0,0,0,0">
              <w:txbxContent>
                <w:p w:rsidR="0091327C" w:rsidRDefault="0091327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בתמוז תשל''ד (24 ביוני 1974) :הצעת החוק ודברי הסבר פורסמו בה"ח 1117 ,תשל"ד,</w:t>
                  </w:r>
                </w:p>
                <w:p w:rsidR="0091327C" w:rsidRDefault="0091327C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175. </w:t>
                  </w:r>
                </w:p>
                <w:p w:rsidR="0091327C" w:rsidRDefault="0091327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17, עמ' 390.</w:t>
                  </w:r>
                </w:p>
                <w:p w:rsidR="0091327C" w:rsidRPr="0091327C" w:rsidRDefault="0091327C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ס"ח תש"ל,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0" o:spid="_x0000_s1027" type="#_x0000_t202" style="position:absolute;left:0;text-align:left;margin-left:113.1pt;margin-top:567.65pt;width:77.6pt;height:38.8pt;z-index:5;mso-position-horizontal-relative:page;mso-position-vertical-relative:page" stroked="f">
            <v:textbox style="mso-next-textbox:#_x0000_s32140" inset="0,0,0,0">
              <w:txbxContent>
                <w:p w:rsidR="0091327C" w:rsidRDefault="0091327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91327C" w:rsidRDefault="0091327C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1" o:spid="_x0000_s1028" type="#_x0000_t202" style="position:absolute;left:0;text-align:left;margin-left:233.7pt;margin-top:572pt;width:83.55pt;height:33.65pt;z-index:4;mso-position-horizontal-relative:page;mso-position-vertical-relative:page" stroked="f">
            <v:textbox style="mso-next-textbox:#_x0000_s32141" inset="0,0,0,0">
              <w:txbxContent>
                <w:p w:rsidR="0091327C" w:rsidRDefault="0091327C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1327C" w:rsidRDefault="0091327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2" o:spid="_x0000_s1029" type="#_x0000_t202" style="position:absolute;left:0;text-align:left;margin-left:375.65pt;margin-top:594.35pt;width:124.15pt;height:43.15pt;z-index:3;mso-position-horizontal-relative:page;mso-position-vertical-relative:page" stroked="f">
            <v:textbox style="mso-next-textbox:#_x0000_s32142" inset="0,0,0,0">
              <w:txbxContent>
                <w:p w:rsidR="0091327C" w:rsidRDefault="0091327C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1327C" w:rsidRDefault="0091327C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3" o:spid="_x0000_s1030" type="#_x0000_t202" style="position:absolute;left:0;text-align:left;margin-left:79.65pt;margin-top:99.35pt;width:470.05pt;height:466.7pt;z-index:2;mso-position-horizontal-relative:page;mso-position-vertical-relative:page" stroked="f">
            <v:textbox style="mso-next-textbox:#_x0000_s321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301"/>
                  </w:tblGrid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Default="0091327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יהיו לכל המונחים המשמעות שיש להם בפקודת המשטרה [נוסח חדש],</w:t>
                        </w:r>
                      </w:p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תשל"א-11971 (להלן - הפקודה), והוא יתפרש אתה כאחד.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מי שפרש מהשירות במשטרת ישראל, משירות בתי הסוהר, משירות המדינה במשרה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משירות ברשות מקומית, לפני תחילתו של חוק זה או אחרי שהגיע לגיל ,60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לגייס אותו לפי בקשתו לשירות במשטרת ישראל לתקופה מוגבלת מראש ולביצוע</w:t>
                        </w:r>
                      </w:p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משימות מסויימות, שיפורטו בפקודות הקבע של משטרת ישראל.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משימות מיוחדות</w:t>
                        </w:r>
                      </w:p>
                    </w:tc>
                  </w:tr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.מי שגוייס לפי חוק זה, יחולו על שירותו הוראות הפקודה והתקנות על פיה בדבר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של שוטר, לרבות המשמעת שבשירות, בשינויים המחוייבים, ויהיו לו הסמכויות,</w:t>
                        </w:r>
                      </w:p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החסיונות והחסינויות של שוטר.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המגוייס</w:t>
                        </w:r>
                      </w:p>
                    </w:tc>
                  </w:tr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(א) בסעיף זה -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רגילה" - קצבה שהיתה מגיעה לולא הוראות סעיף 35 לחוק שירות המדינה (גמל-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אות) [נוסח משולב), תש"ל-21970 (להלן - חוק הגמלאות), או הוראה מקבילה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המחייבת ברשות המקומית, לפי הענין: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כוללת" - משכורתו של מגוייס לפי חוק זה בצירוף הקצבה הרגילה: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הקובע" - המשכורת הקובעת של המגוייס כמשמעותה בחוק הגמלאות או המשכורת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המשמשת יסוד לחישוב הקצבה ברשות המקומית, לפי הענין.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המגוייס לפי חוק זה זכאי לקצבה מאוצר המדינה או מרשות מקומית בגלל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שממנו פרש, הרי, על אף האמור בסעיף 35 לחוק הגמלאות ובכל הוראה מקבילה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שבהסכם קיבוצי, הסכם או הסדר אחר בדבר גמלאות עובדי הרשויות המקומיות, יחולו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הכנסתו הכוללת עולה על השכר הקובע, תשולם לו קצבה בשיעור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מהקצבה הרגילה או בשיעור הקצבה הרגילה בניכוי שליש מהסכום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עודפת ההכנסה הכוללת על השכר הקובע, הכל לפי הגבוה:</w:t>
                        </w:r>
                      </w:p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עלתה הכנסתו הכוללת על השכר הקובע, לא תופחת קצבה בגלל</w:t>
                        </w:r>
                      </w:p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משכורת בעד שירות לפי חוק זה.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</w:t>
                        </w:r>
                      </w:p>
                    </w:tc>
                  </w:tr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יחול על העסקה במשטרת ישראל בתקופה שתסתיים ביום כ"א בטבת תשל"ח</w:t>
                        </w:r>
                      </w:p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1977).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91327C" w:rsidRPr="0091327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המשטרה ממונה על ביצוע חוק זה.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1327C" w:rsidRPr="0091327C" w:rsidRDefault="0091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91327C" w:rsidRDefault="009132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44" o:spid="_x0000_s1031" type="#_x0000_t202" style="position:absolute;left:0;text-align:left;margin-left:162.2pt;margin-top:76.2pt;width:244.55pt;height:22.35pt;z-index:1;mso-position-horizontal-relative:page;mso-position-vertical-relative:page" stroked="f">
            <v:textbox style="mso-next-textbox:#_x0000_s32144" inset="0,0,0,0">
              <w:txbxContent>
                <w:p w:rsidR="0091327C" w:rsidRPr="0091327C" w:rsidRDefault="0091327C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המשטרה (הוראת שעה), תשל"ד--1974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32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6E2F79-8A95-47A1-85F3-E0603CA2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32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