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70AA" w:rsidRDefault="009F70AA">
      <w:pPr>
        <w:rPr>
          <w:rtl/>
        </w:rPr>
      </w:pPr>
    </w:p>
    <w:p w:rsidR="009F70A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214" o:spid="_x0000_s1025" type="#_x0000_t202" style="position:absolute;left:0;text-align:left;margin-left:50pt;margin-top:771.95pt;width:495.35pt;height:30pt;z-index:3;mso-position-horizontal-relative:page;mso-position-vertical-relative:page" stroked="f">
            <v:textbox style="mso-next-textbox:#_x0000_s32214" inset="0,0,0,0">
              <w:txbxContent>
                <w:p w:rsidR="00962F1F" w:rsidRDefault="00962F1F">
                  <w:r>
                    <w:rPr>
                      <w:rtl/>
                    </w:rPr>
                    <w:t>197                                          ספר החוקים 536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15" o:spid="_x0000_s1026" type="#_x0000_t202" style="position:absolute;left:0;text-align:left;margin-left:119.3pt;margin-top:132.65pt;width:427.7pt;height:65.75pt;z-index:2;mso-wrap-style:none;mso-position-horizontal-relative:page;mso-position-vertical-relative:page" stroked="f">
            <v:textbox style="mso-next-textbox:#_x0000_s32215" inset="0,0,0,0">
              <w:txbxContent>
                <w:tbl>
                  <w:tblPr>
                    <w:tblW w:w="47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"/>
                    <w:gridCol w:w="317"/>
                    <w:gridCol w:w="222"/>
                    <w:gridCol w:w="6756"/>
                  </w:tblGrid>
                  <w:tr w:rsidR="00962F1F" w:rsidRPr="009F70AA">
                    <w:trPr>
                      <w:jc w:val="right"/>
                    </w:trPr>
                    <w:tc>
                      <w:tcPr>
                        <w:tcW w:w="412" w:type="pct"/>
                      </w:tcPr>
                      <w:p w:rsidR="00962F1F" w:rsidRPr="009F70AA" w:rsidRDefault="00962F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154" w:type="pct"/>
                      </w:tcPr>
                      <w:p w:rsidR="00962F1F" w:rsidRPr="009F70AA" w:rsidRDefault="00962F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151" w:type="pct"/>
                      </w:tcPr>
                      <w:p w:rsidR="00962F1F" w:rsidRDefault="00962F1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3" w:type="pct"/>
                      </w:tcPr>
                      <w:p w:rsidR="00962F1F" w:rsidRDefault="00962F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962F1F" w:rsidRDefault="00962F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"משכן הכנסת" - הבנין שיוחד לכנסת;</w:t>
                        </w:r>
                      </w:p>
                      <w:p w:rsidR="00962F1F" w:rsidRDefault="00962F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"רחבת הכנסת" - השטח שמסביב למשכן הכנסת ושגבולותיו מסומנים בקו עבה במפה</w:t>
                        </w:r>
                      </w:p>
                      <w:p w:rsidR="00962F1F" w:rsidRPr="009F70AA" w:rsidRDefault="00962F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הניתנת בתוספת לחוק זה, לרבות הבנינים והכבישים שבאותו שטח.</w:t>
                        </w:r>
                      </w:p>
                    </w:tc>
                  </w:tr>
                </w:tbl>
                <w:p w:rsidR="00962F1F" w:rsidRDefault="00962F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216" o:spid="_x0000_s1027" type="#_x0000_t202" style="position:absolute;left:0;text-align:left;margin-left:241.3pt;margin-top:79.6pt;width:224.15pt;height:49.9pt;z-index:1;mso-wrap-style:none;mso-position-horizontal-relative:page;mso-position-vertical-relative:page" stroked="f">
            <v:textbox style="mso-next-textbox:#_x0000_s32216" inset="0,0,0,0">
              <w:txbxContent>
                <w:p w:rsidR="00962F1F" w:rsidRDefault="00962F1F">
                  <w:pPr>
                    <w:pStyle w:val="OCRStyle1"/>
                    <w:ind w:left="4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משכן הכנסת ורחבתו, תשכ"ח-1968*</w:t>
                  </w:r>
                </w:p>
                <w:p w:rsidR="00962F1F" w:rsidRPr="009F70AA" w:rsidRDefault="00962F1F">
                  <w:pPr>
                    <w:pStyle w:val="OCRStyle1"/>
                    <w:ind w:left="12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2D12C1" w:rsidRDefault="002D12C1">
      <w:pPr>
        <w:rPr>
          <w:rtl/>
        </w:rPr>
      </w:pPr>
      <w:r>
        <w:rPr>
          <w:rtl/>
        </w:rPr>
        <w:br w:type="page"/>
      </w:r>
    </w:p>
    <w:p w:rsidR="002D12C1" w:rsidRDefault="00000000">
      <w:pPr>
        <w:rPr>
          <w:rtl/>
        </w:rPr>
      </w:pPr>
      <w:r>
        <w:pict>
          <v:shape id="_x0000_s32217" o:spid="_x0000_s1028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217" inset="0,0,0,0">
              <w:txbxContent>
                <w:p w:rsidR="00962F1F" w:rsidRDefault="00962F1F">
                  <w:r>
                    <w:rPr>
                      <w:rtl/>
                    </w:rPr>
                    <w:t>198                                          ספר החוקים 536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18" o:spid="_x0000_s1029" type="#_x0000_t202" style="position:absolute;left:0;text-align:left;margin-left:88.3pt;margin-top:687.35pt;width:375pt;height:69.3pt;z-index:6;mso-wrap-style:none;mso-position-horizontal-relative:page;mso-position-vertical-relative:page" stroked="f">
            <v:textbox style="mso-next-textbox:#_x0000_s32218" inset="0,0,0,0">
              <w:txbxContent>
                <w:p w:rsidR="00962F1F" w:rsidRDefault="00962F1F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 xml:space="preserve">1 חא''י, כרך ב', פרק קי"ב, עמ' 1124. </w:t>
                  </w:r>
                </w:p>
                <w:p w:rsidR="00962F1F" w:rsidRPr="002D12C1" w:rsidRDefault="00962F1F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2 ס"ח תשי"ב, עמ' 144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19" o:spid="_x0000_s1030" type="#_x0000_t202" style="position:absolute;left:0;text-align:left;margin-left:87.5pt;margin-top:105.8pt;width:457.8pt;height:578.15pt;z-index:5;mso-wrap-style:none;mso-position-horizontal-relative:page;mso-position-vertical-relative:page" stroked="f">
            <v:textbox style="mso-next-textbox:#_x0000_s32219" inset="0,0,0,0">
              <w:txbxContent>
                <w:tbl>
                  <w:tblPr>
                    <w:tblW w:w="48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124"/>
                  </w:tblGrid>
                  <w:tr w:rsidR="00962F1F" w:rsidRPr="002D12C1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962F1F" w:rsidRDefault="00962F1F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8. (א) יושב-ראש הכנסת, בהתייעצות עם הסגנים ובאישורה של רעדת הכנסת, ימנה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קצין הכנסת.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קצין הכנסת יהיה ממונה על בטחון משכן הכנסת והרחבה, על קיום הסדר בהם -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ובקשר לכך - על אכיפת הוראות חוק זה וההוראות שניתנו לפיו.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לקצין הכנסת יהיו כל הסמכויות הדרושות לו לביצוע תפקידיו ולשם כך נתונות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גט הסמכויות הנתונות בכל דין אחר למפקד משטרת מחוז.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קצין הכנסת יהיה אחראי לפני יושב-ראש הכנסת למילוי תפקידו לפי חוק זה.</w:t>
                        </w:r>
                      </w:p>
                      <w:p w:rsidR="00962F1F" w:rsidRPr="002D12C1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בהעדרו של קצין הכנסת יהיו למפקד השומרים סמכויות קצין הכנסת.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962F1F" w:rsidRPr="002D12C1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הכנסת</w:t>
                        </w:r>
                      </w:p>
                    </w:tc>
                  </w:tr>
                  <w:tr w:rsidR="00962F1F" w:rsidRPr="002D12C1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קצין הכנסת יפקד על הסדרנים והשומרים.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חוק זה -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"סדרן" - אדם שנתמנה לשמור על קיום הסדר במשכן הכנסת ולתת שירותים לחברי-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ולבאי משכן הכנסת לפי הוראות יושב-ראש הכנסת;</w:t>
                        </w:r>
                      </w:p>
                      <w:p w:rsidR="00962F1F" w:rsidRPr="002D12C1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"שומר" - אדם שנתמנה לשמור על בטחון משכן הכנסת והרחבה והנמצאים בתוכם.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הכנסת/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 הסדרנים</w:t>
                        </w:r>
                      </w:p>
                      <w:p w:rsidR="00962F1F" w:rsidRPr="002D12C1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והשומרים</w:t>
                        </w:r>
                      </w:p>
                    </w:tc>
                  </w:tr>
                  <w:tr w:rsidR="00962F1F" w:rsidRPr="002D12C1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סדרן או שומר רשאים להורות לכל אדם לעשות מעשה או להימנע מעשותו כדי</w:t>
                        </w:r>
                      </w:p>
                      <w:p w:rsidR="00962F1F" w:rsidRPr="002D12C1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אחר הוראות חוק זה או הוראות שניתנו לפיו.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סדרן</w:t>
                        </w:r>
                      </w:p>
                      <w:p w:rsidR="00962F1F" w:rsidRPr="002D12C1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ושומר</w:t>
                        </w:r>
                      </w:p>
                    </w:tc>
                  </w:tr>
                  <w:tr w:rsidR="00962F1F" w:rsidRPr="002D12C1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סדרן או שומר רשאים להרחיק ממשכן הכנסת ומהרחבה כל אדם שנכנס, או מתכוון</w:t>
                        </w:r>
                      </w:p>
                      <w:p w:rsidR="00962F1F" w:rsidRPr="002D12C1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להיכנס, למשכן הכנסת או לרחבה ללא היתר.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הרחקת משיג</w:t>
                        </w:r>
                      </w:p>
                      <w:p w:rsidR="00962F1F" w:rsidRPr="002D12C1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גבול</w:t>
                        </w:r>
                      </w:p>
                    </w:tc>
                  </w:tr>
                  <w:tr w:rsidR="00962F1F" w:rsidRPr="002D12C1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קצין הכנסת רשאי לצוות על הרחקתו של אדם ממשכן הכנסת והרחבה אם לא ציית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שניתנו כדין, או הפר את הסדר במשכן או ברחבה, או שקיים יסוד סביר לחשוד</w:t>
                        </w:r>
                      </w:p>
                      <w:p w:rsidR="00962F1F" w:rsidRPr="002D12C1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עלול להפר את הסדר בהם, או שנכנס למקום שהכניסה אליו לא הותרה לו.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הרחקת מפר</w:t>
                        </w:r>
                      </w:p>
                      <w:p w:rsidR="00962F1F" w:rsidRPr="002D12C1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</w:t>
                        </w:r>
                      </w:p>
                    </w:tc>
                  </w:tr>
                  <w:tr w:rsidR="00962F1F" w:rsidRPr="002D12C1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במשכן הכנסת או ברחבה יהיו סדרן או שומר רשאים לעצור כל אדם ללא צו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מעצר, אם יש להם יסוד סביר לחשוב שהוא עבר במשכן הכנסת או ברחבה עבירה שיש בה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בכוח או שהיא עבירת גניבה, או שהוא מפר או עלול להפר את השלום או הסדר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בהם; אדם שנעצר כאמור יועבר בהקדם האפשרי, אך לא יאוחר משעתיים לאחר שנעצר,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שוטר.</w:t>
                        </w:r>
                      </w:p>
                      <w:p w:rsidR="00962F1F" w:rsidRPr="002D12C1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אין בסעיף זה כדי לגרוע מסמכות קצין הכנסת לפי סעיף 12.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962F1F" w:rsidRPr="002D12C1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לעצור</w:t>
                        </w:r>
                      </w:p>
                    </w:tc>
                  </w:tr>
                  <w:tr w:rsidR="00962F1F" w:rsidRPr="002D12C1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סדרן או שומר יהיו רשאים, באישור קצין הכנסת, לערוך חיפוש בלא צו חיפוש בגופו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ובכליו של אדם הנמצא במשכן הכנסת או ברחבה או המבקש להיכנס לתוכם, אם נראה להם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מסתיר דבר שאסור להכניסו למשכן הכנסת, או שהוא מסתיר דבר שנלקח שלא כדין</w:t>
                        </w:r>
                      </w:p>
                      <w:p w:rsidR="00962F1F" w:rsidRPr="002D12C1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ממשכן הכנסת, ובלבד שחיפוש אצל אשה לא ייערך אלא בידי אשה.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962F1F" w:rsidRPr="002D12C1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ממכות חיפוש</w:t>
                        </w:r>
                      </w:p>
                    </w:tc>
                  </w:tr>
                  <w:tr w:rsidR="00962F1F" w:rsidRPr="002D12C1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962F1F" w:rsidRPr="002D12C1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סדרן או שומר יהיו רשאים להשתמש בכוח במידה הדרושה למילוי תפקידיהם.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להשתמש</w:t>
                        </w:r>
                      </w:p>
                      <w:p w:rsidR="00962F1F" w:rsidRPr="002D12C1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בכוח</w:t>
                        </w:r>
                      </w:p>
                    </w:tc>
                  </w:tr>
                  <w:tr w:rsidR="00962F1F" w:rsidRPr="002D12C1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התוקף סדרן או שומר כשהם ממלאים תפקידם כדין או המפריע לסדרן או לשומר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בתפקידם או מכשילם בכך, רואים אותו כאילו עשה כאמור כלפי שוטר (כמשמעותו בפקודת</w:t>
                        </w:r>
                      </w:p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המשטרה)1 (להלן - שוטר), ויחול עליו החוק לתיקון דיני העונשין (תקיפת שוטרים),</w:t>
                        </w:r>
                      </w:p>
                      <w:p w:rsidR="00962F1F" w:rsidRPr="002D12C1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תשי"ב-21952,</w:t>
                        </w:r>
                      </w:p>
                    </w:tc>
                    <w:tc>
                      <w:tcPr>
                        <w:tcW w:w="675" w:type="pct"/>
                      </w:tcPr>
                      <w:p w:rsidR="00962F1F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תקיפת אנשי</w:t>
                        </w:r>
                      </w:p>
                      <w:p w:rsidR="00962F1F" w:rsidRPr="002D12C1" w:rsidRDefault="00962F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משמר</w:t>
                        </w:r>
                      </w:p>
                    </w:tc>
                  </w:tr>
                </w:tbl>
                <w:p w:rsidR="00962F1F" w:rsidRDefault="00962F1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220" o:spid="_x0000_s1031" type="#_x0000_t202" style="position:absolute;left:0;text-align:left;margin-left:159.35pt;margin-top:79.1pt;width:260.55pt;height:23.35pt;z-index:4;mso-wrap-style:none;mso-position-horizontal-relative:page;mso-position-vertical-relative:page" stroked="f">
            <v:textbox style="mso-next-textbox:#_x0000_s32220" inset="0,0,0,0">
              <w:txbxContent>
                <w:p w:rsidR="00962F1F" w:rsidRPr="002D12C1" w:rsidRDefault="00962F1F">
                  <w:pPr>
                    <w:pStyle w:val="OCRStyle2"/>
                    <w:ind w:left="27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ג': הבטחת החסינות והסדר במשכן הכנסת</w:t>
                  </w:r>
                </w:p>
              </w:txbxContent>
            </v:textbox>
            <w10:wrap anchorx="page" anchory="page"/>
          </v:shape>
        </w:pict>
      </w:r>
    </w:p>
    <w:p w:rsidR="00257761" w:rsidRDefault="00257761">
      <w:pPr>
        <w:rPr>
          <w:rtl/>
        </w:rPr>
      </w:pPr>
      <w:r>
        <w:rPr>
          <w:rtl/>
        </w:rPr>
        <w:br w:type="page"/>
      </w:r>
    </w:p>
    <w:p w:rsidR="00257761" w:rsidRDefault="00000000">
      <w:pPr>
        <w:rPr>
          <w:rtl/>
        </w:rPr>
      </w:pPr>
      <w:r>
        <w:pict>
          <v:shape id="_x0000_s3222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2221" inset="0,0,0,0">
              <w:txbxContent>
                <w:p w:rsidR="00962F1F" w:rsidRDefault="00962F1F">
                  <w:r>
                    <w:rPr>
                      <w:rtl/>
                    </w:rPr>
                    <w:t>199                                          ספר החוקים 536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22" o:spid="_x0000_s1033" type="#_x0000_t202" style="position:absolute;left:0;text-align:left;margin-left:375.25pt;margin-top:669.7pt;width:166.9pt;height:86.15pt;z-index:12;mso-wrap-style:none;mso-position-horizontal-relative:page;mso-position-vertical-relative:page" stroked="f">
            <v:textbox style="mso-next-textbox:#_x0000_s32222" inset="0,0,0,0">
              <w:txbxContent>
                <w:p w:rsidR="00962F1F" w:rsidRDefault="00962F1F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3 ס"ח תשי"א, עמ' 204.</w:t>
                  </w:r>
                </w:p>
                <w:p w:rsidR="00962F1F" w:rsidRDefault="00962F1F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4 ס"ח תשט"ו, עמ' 135.</w:t>
                  </w:r>
                </w:p>
                <w:p w:rsidR="00962F1F" w:rsidRPr="00257761" w:rsidRDefault="00962F1F">
                  <w:pPr>
                    <w:pStyle w:val="OCRStyle3"/>
                    <w:ind w:left="274"/>
                  </w:pPr>
                  <w:r>
                    <w:rPr>
                      <w:rtl/>
                    </w:rPr>
                    <w:t>5ס"ח תשט"ו, עמ' 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23" o:spid="_x0000_s1034" type="#_x0000_t202" style="position:absolute;left:0;text-align:left;margin-left:97.25pt;margin-top:454.5pt;width:448.45pt;height:213.45pt;z-index:11;mso-wrap-style:none;mso-position-horizontal-relative:page;mso-position-vertical-relative:page" stroked="f">
            <v:textbox style="mso-next-textbox:#_x0000_s32223" inset="0,0,0,0">
              <w:txbxContent>
                <w:tbl>
                  <w:tblPr>
                    <w:tblW w:w="47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7"/>
                    <w:gridCol w:w="6968"/>
                  </w:tblGrid>
                  <w:tr w:rsidR="00962F1F" w:rsidRPr="00257761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החזקת נשק</w:t>
                        </w:r>
                      </w:p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היתר</w:t>
                        </w:r>
                      </w:p>
                      <w:p w:rsidR="00962F1F" w:rsidRPr="00257761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ועשיית מהומה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ואלה דינם מאסר שנתיים:</w:t>
                        </w:r>
                      </w:p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העובר על הוראות סעיף 5;</w:t>
                        </w:r>
                      </w:p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משתתף באסיפה או בתהלוכה ברחבת הכנסת בניגוד לסעיף 7(ב), המתפרץ</w:t>
                        </w:r>
                      </w:p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החודר או המסתנן למשכן הכנסת;</w:t>
                        </w:r>
                      </w:p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הנכנס בין כדין ובין שלא כדין, למשכן הכנסת או לרחבה ועשה בתוכם</w:t>
                        </w:r>
                      </w:p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כדי לאפשר למשתתפים באסיפה או בתהלוכה להתפרץ, להיכנס או</w:t>
                        </w:r>
                      </w:p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להסתנן למשכן הכנסת או לרחבה, בין שהוא עצמו השתתף באסיפה או בתהלוכה</w:t>
                        </w:r>
                      </w:p>
                      <w:p w:rsidR="00962F1F" w:rsidRPr="00257761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שלא השתתף בהן..</w:t>
                        </w:r>
                      </w:p>
                    </w:tc>
                  </w:tr>
                  <w:tr w:rsidR="00962F1F" w:rsidRPr="00257761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מבצע תפקיד</w:t>
                        </w:r>
                      </w:p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ללא</w:t>
                        </w:r>
                      </w:p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והשתתפות</w:t>
                        </w:r>
                      </w:p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באסיפה או</w:t>
                        </w:r>
                      </w:p>
                      <w:p w:rsidR="00962F1F" w:rsidRPr="00257761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בתהלוכת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ואלה דינם מאסר שנה:</w:t>
                        </w:r>
                      </w:p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העובר על הוראות סעיף 6*</w:t>
                        </w:r>
                      </w:p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המשתתף באסיפה או בתהלוכה במשכן הכנסת או ברחבה בניגוד לסעיף</w:t>
                        </w:r>
                      </w:p>
                      <w:p w:rsidR="00962F1F" w:rsidRPr="00257761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(ב).</w:t>
                        </w:r>
                      </w:p>
                    </w:tc>
                  </w:tr>
                </w:tbl>
                <w:p w:rsidR="00962F1F" w:rsidRDefault="00962F1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2224" o:spid="_x0000_s1035" type="#_x0000_t202" style="position:absolute;left:0;text-align:left;margin-left:308.15pt;margin-top:428.75pt;width:117pt;height:18.8pt;z-index:10;mso-wrap-style:none;mso-position-horizontal-relative:page;mso-position-vertical-relative:page" stroked="f">
            <v:textbox style="mso-next-textbox:#_x0000_s32224" inset="0,0,0,0">
              <w:txbxContent>
                <w:p w:rsidR="00962F1F" w:rsidRPr="00257761" w:rsidRDefault="00962F1F">
                  <w:pPr>
                    <w:pStyle w:val="OCRStyle3"/>
                    <w:ind w:left="51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הי: עונשין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25" o:spid="_x0000_s1036" type="#_x0000_t202" style="position:absolute;left:0;text-align:left;margin-left:96.25pt;margin-top:102.45pt;width:452.85pt;height:290.05pt;z-index:9;mso-wrap-style:none;mso-position-horizontal-relative:page;mso-position-vertical-relative:page" stroked="f">
            <v:textbox style="mso-next-textbox:#_x0000_s32225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6"/>
                    <w:gridCol w:w="6967"/>
                  </w:tblGrid>
                  <w:tr w:rsidR="00962F1F" w:rsidRPr="00257761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962F1F" w:rsidRPr="00257761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שירות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קבלת שומרים לשירות ותנאי שירותם יהיו כקבלת שוטרים לשירות וכתנאי שירותם,</w:t>
                        </w:r>
                      </w:p>
                      <w:p w:rsidR="00962F1F" w:rsidRPr="00257761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בתיאומים שקבע יושב-ראש הכנסת.</w:t>
                        </w:r>
                      </w:p>
                    </w:tc>
                  </w:tr>
                  <w:tr w:rsidR="00962F1F" w:rsidRPr="00257761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עבודה</w:t>
                        </w:r>
                      </w:p>
                      <w:p w:rsidR="00962F1F" w:rsidRPr="00257761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ומנוחה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962F1F" w:rsidRPr="00257761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חוק שעות עבודה ומנוחה, תשי"א-31951, לא יחול על העבדתם של שומרים.</w:t>
                        </w:r>
                      </w:p>
                    </w:tc>
                  </w:tr>
                  <w:tr w:rsidR="00962F1F" w:rsidRPr="00257761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962F1F" w:rsidRPr="00257761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משמעתי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לענין חובת משמעת ושיפוט משמעתי דין שומר כדין שוטר לפי פקודת המשטרה,</w:t>
                        </w:r>
                      </w:p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סמכויות שר המשטרה יהיו נתונות ליושב-ראש הכנסת וסמכויות מפקד משטרת מחוז</w:t>
                        </w:r>
                      </w:p>
                      <w:p w:rsidR="00962F1F" w:rsidRPr="00257761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והמפקח הכללי - לקצין הכנסת, והכל בשינויים המחוייבים לפי הענין.</w:t>
                        </w:r>
                      </w:p>
                    </w:tc>
                  </w:tr>
                  <w:tr w:rsidR="00962F1F" w:rsidRPr="00257761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גימלאות</w:t>
                        </w:r>
                      </w:p>
                      <w:p w:rsidR="00962F1F" w:rsidRPr="00257761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לאנשי משמר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לענין הזכות לגימלה לפי חוק שירות המדינה (גימלאות), תשט"ו-41955, דין שומר</w:t>
                        </w:r>
                      </w:p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שוטר, בשינויים המחוייבים על פי הענין ובתיאומים שקבע יושב-ראש הכנסת, והסמ-</w:t>
                        </w:r>
                      </w:p>
                      <w:p w:rsidR="00962F1F" w:rsidRPr="00257761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כויות הניתנות בחוק האמור למפקח הכללי של המשטרה יהיו נתונות ליושב-ראש הכנסת.</w:t>
                        </w:r>
                      </w:p>
                    </w:tc>
                  </w:tr>
                  <w:tr w:rsidR="00962F1F" w:rsidRPr="00257761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962F1F" w:rsidRPr="00257761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חוק המשטרה (נכים ונספים), תשט"ו-31955, יחול לגבי שומר שלקה בנכות כתוצאה</w:t>
                        </w:r>
                      </w:p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מחבלה שנחבל בה בתקופת שירותו במשמר הכנסת ועקב שירותו זה, והוא הדין לגבי שאיריו</w:t>
                        </w:r>
                      </w:p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שומר שמת כתוצאה מחבלה שנחבל בתקופת שירותו כשומר במשמר הכנסת ועקב</w:t>
                        </w:r>
                      </w:p>
                      <w:p w:rsidR="00962F1F" w:rsidRPr="00257761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זה.</w:t>
                        </w:r>
                      </w:p>
                    </w:tc>
                  </w:tr>
                  <w:tr w:rsidR="00962F1F" w:rsidRPr="00257761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962F1F" w:rsidRPr="00257761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יתר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962F1F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שומר זכאי לכל זכות יתר המוענקת כדין לשוטר, והוא הדין לכל פטור או הנחה</w:t>
                        </w:r>
                      </w:p>
                      <w:p w:rsidR="00962F1F" w:rsidRPr="00257761" w:rsidRDefault="00962F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ממס, מאגרה, מארנונה או מהיטל אשר שוטר זכאי להם על פי הדין.</w:t>
                        </w:r>
                      </w:p>
                    </w:tc>
                  </w:tr>
                </w:tbl>
                <w:p w:rsidR="00962F1F" w:rsidRDefault="00962F1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2226" o:spid="_x0000_s1037" type="#_x0000_t202" style="position:absolute;left:0;text-align:left;margin-left:294.25pt;margin-top:73.15pt;width:136.8pt;height:29.1pt;z-index:8;mso-wrap-style:none;mso-position-horizontal-relative:page;mso-position-vertical-relative:page" stroked="f">
            <v:textbox style="mso-next-textbox:#_x0000_s32226" inset="0,0,0,0">
              <w:txbxContent>
                <w:p w:rsidR="00962F1F" w:rsidRPr="00257761" w:rsidRDefault="00962F1F">
                  <w:pPr>
                    <w:pStyle w:val="OCRStyle3"/>
                    <w:ind w:left="29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ד': שומרי הכנסת</w:t>
                  </w:r>
                </w:p>
              </w:txbxContent>
            </v:textbox>
            <w10:wrap anchorx="page" anchory="page"/>
          </v:shape>
        </w:pict>
      </w:r>
    </w:p>
    <w:p w:rsidR="0098651C" w:rsidRDefault="0098651C">
      <w:pPr>
        <w:rPr>
          <w:rtl/>
        </w:rPr>
      </w:pPr>
      <w:r>
        <w:rPr>
          <w:rtl/>
        </w:rPr>
        <w:br w:type="page"/>
      </w:r>
    </w:p>
    <w:p w:rsidR="0098651C" w:rsidRDefault="00000000">
      <w:pPr>
        <w:rPr>
          <w:rtl/>
        </w:rPr>
      </w:pPr>
      <w:r>
        <w:pict>
          <v:shape id="_x0000_s32227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2227" inset="0,0,0,0">
              <w:txbxContent>
                <w:p w:rsidR="00962F1F" w:rsidRDefault="00962F1F">
                  <w:r>
                    <w:rPr>
                      <w:rtl/>
                    </w:rPr>
                    <w:t>200                                          ספר החוקים 536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28" o:spid="_x0000_s1039" type="#_x0000_t202" style="position:absolute;left:0;text-align:left;margin-left:91.65pt;margin-top:716.95pt;width:184.15pt;height:38pt;z-index:18;mso-wrap-style:none;mso-position-horizontal-relative:page;mso-position-vertical-relative:page" stroked="f">
            <v:textbox style="mso-next-textbox:#_x0000_s32228" inset="0,0,0,0">
              <w:txbxContent>
                <w:p w:rsidR="00962F1F" w:rsidRDefault="00962F1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2229" o:spid="_x0000_s1040" type="#_x0000_t202" style="position:absolute;left:0;text-align:left;margin-left:348.05pt;margin-top:667.85pt;width:118.8pt;height:36.25pt;z-index:17;mso-wrap-style:none;mso-position-horizontal-relative:page;mso-position-vertical-relative:page" stroked="f">
            <v:textbox style="mso-next-textbox:#_x0000_s32229" inset="0,0,0,0">
              <w:txbxContent>
                <w:p w:rsidR="00962F1F" w:rsidRDefault="00962F1F">
                  <w:pPr>
                    <w:pStyle w:val="OCRStyle4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6 ס"ח תשי''ב, עמ' 140.</w:t>
                  </w:r>
                </w:p>
                <w:p w:rsidR="00962F1F" w:rsidRPr="0098651C" w:rsidRDefault="00962F1F">
                  <w:pPr>
                    <w:pStyle w:val="OCRStyle4"/>
                    <w:ind w:left="151"/>
                  </w:pPr>
                  <w:r>
                    <w:rPr>
                      <w:rtl/>
                    </w:rPr>
                    <w:t>7 ס"ח תשט"ו, עמ' 135.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30" o:spid="_x0000_s1041" type="#_x0000_t202" style="position:absolute;left:0;text-align:left;margin-left:91.65pt;margin-top:257.4pt;width:457pt;height:408.85pt;z-index:16;mso-wrap-style:none;mso-position-horizontal-relative:page;mso-position-vertical-relative:page" stroked="f">
            <v:textbox style="mso-next-textbox:#_x0000_s32230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0"/>
                    <w:gridCol w:w="1238"/>
                  </w:tblGrid>
                  <w:tr w:rsidR="00962F1F" w:rsidRPr="0098651C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962F1F" w:rsidRDefault="00962F1F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26, לא תוגש תביעה פלילית נגד אדם בשל עבירה על חוק זה, ולא יהא היועץ המשפטי</w:t>
                        </w:r>
                      </w:p>
                      <w:p w:rsidR="00962F1F" w:rsidRPr="0098651C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רשאי לצוות על הפסקת הליכים שנפתחו - אלא על דעת יושב-ראש הכנסת.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תביעה</w:t>
                        </w:r>
                      </w:p>
                      <w:p w:rsidR="00962F1F" w:rsidRPr="0098651C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</w:t>
                        </w:r>
                      </w:p>
                    </w:tc>
                  </w:tr>
                  <w:tr w:rsidR="00962F1F" w:rsidRPr="0098651C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 הוראות חוק זה, פרט לסעיף 5, אינן חלות על -</w:t>
                        </w:r>
                      </w:p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נשיא המדינה;</w:t>
                        </w:r>
                      </w:p>
                      <w:p w:rsidR="00962F1F" w:rsidRPr="0098651C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חברי הכנסת,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62F1F" w:rsidRPr="0098651C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החוק</w:t>
                        </w:r>
                      </w:p>
                    </w:tc>
                  </w:tr>
                  <w:tr w:rsidR="00962F1F" w:rsidRPr="0098651C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 דין הסדרנים, בין שנתקבלו לשירות לפני תחילת חוק זה ובין לאחר מכן, לענין קבלה</w:t>
                        </w:r>
                      </w:p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ותנאי שירות לרבות הזכות לגימלה ולענין חובת משמעת ושיפוט משמעתי, כדין</w:t>
                        </w:r>
                      </w:p>
                      <w:p w:rsidR="00962F1F" w:rsidRPr="0098651C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שירות של</w:t>
                        </w:r>
                      </w:p>
                      <w:p w:rsidR="00962F1F" w:rsidRPr="0098651C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סדרנים</w:t>
                        </w:r>
                      </w:p>
                    </w:tc>
                  </w:tr>
                  <w:tr w:rsidR="00962F1F" w:rsidRPr="0098651C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 בזמן ישיבות הכנסת בהעדר יושב-ראש הכנסת ימלא יושב-ראש הישיבה את מקום</w:t>
                        </w:r>
                      </w:p>
                      <w:p w:rsidR="00962F1F" w:rsidRPr="0098651C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 הכנסת לענין חוק זה.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מקומו של</w:t>
                        </w:r>
                      </w:p>
                      <w:p w:rsidR="00962F1F" w:rsidRPr="0098651C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 הכנסת</w:t>
                        </w:r>
                      </w:p>
                    </w:tc>
                  </w:tr>
                  <w:tr w:rsidR="00962F1F" w:rsidRPr="0098651C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 (א) יושב-ראש הכנסת רשאי לאצול בכתב לסגן יושב-ראש הכנסת את סמכויותיו</w:t>
                        </w:r>
                      </w:p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3(ב), 6,4 ו-7 אם דרך כלל ואם לענין מסויים ואם לשעה,</w:t>
                        </w:r>
                      </w:p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קצין הכנסת רשאי, באישור יושב-ראש הכנסת, לאצול מסמכותו לפי סעיפים</w:t>
                        </w:r>
                      </w:p>
                      <w:p w:rsidR="00962F1F" w:rsidRPr="0098651C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ו-14 לשומר או לסדרן.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62F1F" w:rsidRPr="0098651C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</w:tr>
                  <w:tr w:rsidR="00962F1F" w:rsidRPr="0098651C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יושב-ראש הכנסת ממונה על ביצוע חוק זה והוא רשאי, באישורה של ועדת הכנסת,</w:t>
                        </w:r>
                      </w:p>
                      <w:p w:rsidR="00962F1F" w:rsidRPr="0098651C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בכל הנוגע לביצועו.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62F1F" w:rsidRPr="0098651C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962F1F" w:rsidRPr="0098651C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962F1F" w:rsidRPr="0098651C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 חוק חסינות בניני הכנסת, תשי"ב-1952 6- בטל,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62F1F" w:rsidRPr="0098651C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962F1F" w:rsidRPr="0098651C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 מי שנתמנה להיות שומר על פי חוק חסינות בניני הכנסת, תשי"ב-1952, והוא עודנו</w:t>
                        </w:r>
                      </w:p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בשירות, רואים אותו כאילו נתמנה להיות שומר על פי חוק זה, ותקופת שירותו כשומר</w:t>
                        </w:r>
                      </w:p>
                      <w:p w:rsidR="00962F1F" w:rsidRPr="0098651C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תובא בחשבון לענין זכותו לגימלאות לפי חוק שירות המדינה (גימלאות), תשט"ו-1955 י.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62F1F" w:rsidRPr="0098651C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962F1F" w:rsidRDefault="00962F1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2231" o:spid="_x0000_s1042" type="#_x0000_t202" style="position:absolute;left:0;text-align:left;margin-left:234.6pt;margin-top:224.55pt;width:99.8pt;height:25.95pt;z-index:15;mso-wrap-style:none;mso-position-horizontal-relative:page;mso-position-vertical-relative:page" stroked="f">
            <v:textbox style="mso-next-textbox:#_x0000_s32231" inset="0,0,0,0">
              <w:txbxContent>
                <w:p w:rsidR="00962F1F" w:rsidRPr="0098651C" w:rsidRDefault="00962F1F">
                  <w:pPr>
                    <w:pStyle w:val="OCRStyle4"/>
                    <w:ind w:left="19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ו':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32" o:spid="_x0000_s1043" type="#_x0000_t202" style="position:absolute;left:0;text-align:left;margin-left:93.2pt;margin-top:78.2pt;width:461.55pt;height:139.6pt;z-index:14;mso-wrap-style:none;mso-position-horizontal-relative:page;mso-position-vertical-relative:page" stroked="f">
            <v:textbox style="mso-next-textbox:#_x0000_s32232" inset="0,0,0,0">
              <w:txbxContent>
                <w:tbl>
                  <w:tblPr>
                    <w:tblW w:w="49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9"/>
                    <w:gridCol w:w="1333"/>
                  </w:tblGrid>
                  <w:tr w:rsidR="00962F1F" w:rsidRPr="0098651C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ואלה דינם מאסר חודש ימים או קנס 500 לירות:</w:t>
                        </w:r>
                      </w:p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הנכנס למשכן הכנסת, לרחבה או לאולם ישיבות המליאה ללא היתר לפי</w:t>
                        </w:r>
                      </w:p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סעיפים 3 או 4; </w:t>
                        </w:r>
                      </w:p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העובר על הוראות הסעיפים 7(א), 7(0?</w:t>
                        </w:r>
                      </w:p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המפר הוראות שניתנו כדין מאת קצין הכנסת או מאת סדרן או שומר;</w:t>
                        </w:r>
                      </w:p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המפר הוראות יושב-ראש הכנסת לפי סעיף 2 ולא נקבע בחוק זה עונש</w:t>
                        </w:r>
                      </w:p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לאותה עבירה.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962F1F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דלן המפר הוראות</w:t>
                        </w:r>
                      </w:p>
                      <w:p w:rsidR="00962F1F" w:rsidRPr="0098651C" w:rsidRDefault="00962F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</w:t>
                        </w:r>
                      </w:p>
                    </w:tc>
                  </w:tr>
                </w:tbl>
                <w:p w:rsidR="00962F1F" w:rsidRDefault="00962F1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17D4C" w:rsidRDefault="00E17D4C">
      <w:pPr>
        <w:rPr>
          <w:rtl/>
        </w:rPr>
      </w:pPr>
      <w:r>
        <w:rPr>
          <w:rtl/>
        </w:rPr>
        <w:br w:type="page"/>
      </w:r>
    </w:p>
    <w:p w:rsidR="00E17D4C" w:rsidRDefault="00000000">
      <w:pPr>
        <w:rPr>
          <w:rtl/>
        </w:rPr>
      </w:pPr>
      <w:r>
        <w:pict>
          <v:shape id="_x0000_s32233" o:spid="_x0000_s1044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2233" inset="0,0,0,0">
              <w:txbxContent>
                <w:p w:rsidR="00962F1F" w:rsidRDefault="00962F1F">
                  <w:r>
                    <w:rPr>
                      <w:rtl/>
                    </w:rPr>
                    <w:t>201                                          ספר החוקים 536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34" o:spid="_x0000_s1045" type="#_x0000_t202" style="position:absolute;left:0;text-align:left;margin-left:379.6pt;margin-top:715.3pt;width:174.65pt;height:37.8pt;z-index:22;mso-wrap-style:none;mso-position-horizontal-relative:page;mso-position-vertical-relative:page" stroked="f">
            <v:textbox style="mso-next-textbox:#_x0000_s32234" inset="0,0,0,0">
              <w:txbxContent>
                <w:p w:rsidR="00962F1F" w:rsidRDefault="00962F1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2235" o:spid="_x0000_s1046" type="#_x0000_t202" style="position:absolute;left:0;text-align:left;margin-left:158.25pt;margin-top:599.05pt;width:85.35pt;height:49.9pt;z-index:21;mso-wrap-style:none;mso-position-horizontal-relative:page;mso-position-vertical-relative:page" stroked="f">
            <v:textbox style="mso-next-textbox:#_x0000_s32235" inset="0,0,0,0">
              <w:txbxContent>
                <w:p w:rsidR="00962F1F" w:rsidRDefault="00962F1F">
                  <w:pPr>
                    <w:pStyle w:val="OCRStyle5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62F1F" w:rsidRDefault="00962F1F">
                  <w:pPr>
                    <w:pStyle w:val="OCRStyle5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36" o:spid="_x0000_s1047" type="#_x0000_t202" style="position:absolute;left:0;text-align:left;margin-left:379.6pt;margin-top:627.35pt;width:146.3pt;height:62.95pt;z-index:20;mso-wrap-style:none;mso-position-horizontal-relative:page;mso-position-vertical-relative:page" stroked="f">
            <v:textbox style="mso-next-textbox:#_x0000_s32236" inset="0,0,0,0">
              <w:txbxContent>
                <w:p w:rsidR="00962F1F" w:rsidRDefault="00962F1F">
                  <w:pPr>
                    <w:pStyle w:val="OCRStyle5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62F1F" w:rsidRDefault="00962F1F">
                  <w:pPr>
                    <w:pStyle w:val="OCRStyle5"/>
                    <w:ind w:left="8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</w:p>
    <w:p w:rsidR="00962F1F" w:rsidRDefault="00962F1F">
      <w:pPr>
        <w:rPr>
          <w:rtl/>
        </w:rPr>
      </w:pPr>
      <w:r>
        <w:rPr>
          <w:rtl/>
        </w:rPr>
        <w:br w:type="page"/>
      </w:r>
    </w:p>
    <w:p w:rsidR="00962F1F" w:rsidRDefault="00000000">
      <w:pPr>
        <w:rPr>
          <w:rtl/>
        </w:rPr>
      </w:pPr>
      <w:r>
        <w:pict>
          <v:shape id="_x0000_s32237" o:spid="_x0000_s1048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2237" inset="0,0,0,0">
              <w:txbxContent>
                <w:p w:rsidR="00962F1F" w:rsidRDefault="00962F1F">
                  <w:r>
                    <w:rPr>
                      <w:rtl/>
                    </w:rPr>
                    <w:t>202                                          ספר החוקים 536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38" o:spid="_x0000_s1049" type="#_x0000_t202" style="position:absolute;left:0;text-align:left;margin-left:84.55pt;margin-top:706.6pt;width:173.05pt;height:53.45pt;z-index:24;mso-wrap-style:none;mso-position-horizontal-relative:page;mso-position-vertical-relative:page" stroked="f">
            <v:textbox style="mso-next-textbox:#_x0000_s32238" inset="0,0,0,0">
              <w:txbxContent>
                <w:p w:rsidR="00962F1F" w:rsidRDefault="00962F1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F70A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A2CBDC4-8DC9-4E60-AE55-4DA7DA63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70A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D12C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57761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8651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E17D4C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962F1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36</Characters>
  <Application>Microsoft Office Word</Application>
  <DocSecurity>4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2008-04-09T14:32:00Z</dcterms:created>
  <dcterms:modified xsi:type="dcterms:W3CDTF">2008-04-09T14:32:00Z</dcterms:modified>
</cp:coreProperties>
</file>