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C481F" w:rsidRDefault="008C481F">
      <w:pPr>
        <w:rPr>
          <w:rtl/>
        </w:rPr>
      </w:pPr>
    </w:p>
    <w:p w:rsidR="008C481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225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2258" inset="0,0,0,0">
              <w:txbxContent>
                <w:p w:rsidR="009F4D3D" w:rsidRDefault="009F4D3D">
                  <w:r>
                    <w:rPr>
                      <w:rtl/>
                    </w:rPr>
                    <w:t>184                                          ספר החוקים 636                    ט"ו באב התשל"א 06.08.1971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32259" o:spid="_x0000_s1026" type="#_x0000_t202" style="position:absolute;left:0;text-align:left;margin-left:81.65pt;margin-top:664.65pt;width:380.35pt;height:79.8pt;z-index:3;mso-wrap-style:none;mso-position-horizontal-relative:page;mso-position-vertical-relative:page" stroked="f">
            <v:textbox style="mso-next-textbox:#_x0000_s32259" inset="0,0,0,0">
              <w:txbxContent>
                <w:p w:rsidR="009F4D3D" w:rsidRDefault="009F4D3D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ה' באב תשל''א (27 ביולי 1971); הצעת החוק ודברי הסבר פורסמו בה''ח 882, תש"ל, עמ'</w:t>
                  </w:r>
                </w:p>
                <w:p w:rsidR="009F4D3D" w:rsidRDefault="009F4D3D">
                  <w:pPr>
                    <w:pStyle w:val="OCRStyle1"/>
                    <w:ind w:left="32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163.</w:t>
                  </w:r>
                </w:p>
                <w:p w:rsidR="009F4D3D" w:rsidRDefault="009F4D3D">
                  <w:pPr>
                    <w:pStyle w:val="OCRStyle1"/>
                    <w:ind w:left="21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תשכ''ז, עמי .48</w:t>
                  </w:r>
                </w:p>
                <w:p w:rsidR="009F4D3D" w:rsidRDefault="009F4D3D">
                  <w:pPr>
                    <w:pStyle w:val="OCRStyle1"/>
                    <w:ind w:left="21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תשכ"ט, עמ' .259</w:t>
                  </w:r>
                </w:p>
                <w:p w:rsidR="009F4D3D" w:rsidRPr="008C481F" w:rsidRDefault="009F4D3D">
                  <w:pPr>
                    <w:pStyle w:val="OCRStyle1"/>
                    <w:ind w:left="422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ספר חוקים 636, ט"ו באב תשל"א, 6.8.1971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32260" o:spid="_x0000_s1027" type="#_x0000_t202" style="position:absolute;left:0;text-align:left;margin-left:77.5pt;margin-top:106.5pt;width:468.45pt;height:555.6pt;z-index:2;mso-wrap-style:none;mso-position-horizontal-relative:page;mso-position-vertical-relative:page" stroked="f">
            <v:textbox style="mso-next-textbox:#_x0000_s32260" inset="0,0,0,0">
              <w:txbxContent>
                <w:tbl>
                  <w:tblPr>
                    <w:tblW w:w="499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25"/>
                    <w:gridCol w:w="1291"/>
                  </w:tblGrid>
                  <w:tr w:rsidR="009F4D3D" w:rsidRPr="008C481F">
                    <w:trPr>
                      <w:jc w:val="right"/>
                    </w:trPr>
                    <w:tc>
                      <w:tcPr>
                        <w:tcW w:w="4242" w:type="pct"/>
                      </w:tcPr>
                      <w:p w:rsidR="009F4D3D" w:rsidRPr="008C481F" w:rsidRDefault="009F4D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30"/>
                            <w:szCs w:val="30"/>
                            <w:rtl/>
                          </w:rPr>
                          <w:t>1. בחוק זה, "מיטלטלין" - נכסים מוחשיים, חוץ ממקרקעין.</w:t>
                        </w:r>
                      </w:p>
                    </w:tc>
                    <w:tc>
                      <w:tcPr>
                        <w:tcW w:w="758" w:type="pct"/>
                      </w:tcPr>
                      <w:p w:rsidR="009F4D3D" w:rsidRPr="008C481F" w:rsidRDefault="009F4D3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9F4D3D" w:rsidRPr="008C481F">
                    <w:trPr>
                      <w:jc w:val="right"/>
                    </w:trPr>
                    <w:tc>
                      <w:tcPr>
                        <w:tcW w:w="4242" w:type="pct"/>
                      </w:tcPr>
                      <w:p w:rsidR="009F4D3D" w:rsidRDefault="009F4D3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הבעלות במיטלטלין היא הזכות להחזיק ולהשתמש בהם ולעשות בהם בל דבר וכל</w:t>
                        </w:r>
                      </w:p>
                      <w:p w:rsidR="009F4D3D" w:rsidRPr="008C481F" w:rsidRDefault="009F4D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עסקה, בכפוף להגבלות לפי דין או לפי הסכם.</w:t>
                        </w:r>
                      </w:p>
                    </w:tc>
                    <w:tc>
                      <w:tcPr>
                        <w:tcW w:w="758" w:type="pct"/>
                      </w:tcPr>
                      <w:p w:rsidR="009F4D3D" w:rsidRPr="008C481F" w:rsidRDefault="009F4D3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בעלות</w:t>
                        </w:r>
                      </w:p>
                    </w:tc>
                  </w:tr>
                  <w:tr w:rsidR="009F4D3D" w:rsidRPr="008C481F">
                    <w:trPr>
                      <w:jc w:val="right"/>
                    </w:trPr>
                    <w:tc>
                      <w:tcPr>
                        <w:tcW w:w="4242" w:type="pct"/>
                      </w:tcPr>
                      <w:p w:rsidR="009F4D3D" w:rsidRDefault="009F4D3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מיטלטלין שאין להם בעל יכול כל אדם, בכפוף לבל דין, לרכוש את הבעלות בהם</w:t>
                        </w:r>
                      </w:p>
                      <w:p w:rsidR="009F4D3D" w:rsidRPr="008C481F" w:rsidRDefault="009F4D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בתפישתם תוך כוונה לזכות בהם.</w:t>
                        </w:r>
                      </w:p>
                    </w:tc>
                    <w:tc>
                      <w:tcPr>
                        <w:tcW w:w="758" w:type="pct"/>
                      </w:tcPr>
                      <w:p w:rsidR="009F4D3D" w:rsidRPr="008C481F" w:rsidRDefault="009F4D3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זכיה מן הה0קר</w:t>
                        </w:r>
                      </w:p>
                    </w:tc>
                  </w:tr>
                  <w:tr w:rsidR="009F4D3D" w:rsidRPr="008C481F">
                    <w:trPr>
                      <w:jc w:val="right"/>
                    </w:trPr>
                    <w:tc>
                      <w:tcPr>
                        <w:tcW w:w="4242" w:type="pct"/>
                      </w:tcPr>
                      <w:p w:rsidR="009F4D3D" w:rsidRDefault="009F4D3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(א) נתחברו או נתערבבו מיטלטלין של אחד עם מיטלטלין של אחר עד שאין</w:t>
                        </w:r>
                      </w:p>
                      <w:p w:rsidR="009F4D3D" w:rsidRDefault="009F4D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לזהותם אר להפרידם, או שהפרדתם היתה כרוכה כנזק בלתי סביר או בהוצאות בלתי סבירות</w:t>
                        </w:r>
                      </w:p>
                      <w:p w:rsidR="009F4D3D" w:rsidRDefault="009F4D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מיטלטלין מחוברים), יהיו המיטלטלין המחוברים בבעלותם המשותפת של שניהם</w:t>
                        </w:r>
                      </w:p>
                      <w:p w:rsidR="009F4D3D" w:rsidRDefault="009F4D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אחד בשיעור שווים של המיטלטלין ערב החיבור.</w:t>
                        </w:r>
                      </w:p>
                      <w:p w:rsidR="009F4D3D" w:rsidRDefault="009F4D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היו מיטלטלי האחד עיקר ומיטלטלי האחר טפל, תעבור הבעלות כמיטלטלין</w:t>
                        </w:r>
                      </w:p>
                      <w:p w:rsidR="009F4D3D" w:rsidRDefault="009F4D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הטפלים לידי בעל המיטלטלין העיקריים, והוא חייב לשלם לחברו את הסכום שזכה בו</w:t>
                        </w:r>
                      </w:p>
                      <w:p w:rsidR="009F4D3D" w:rsidRDefault="009F4D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ברכישת המיטלטלין הטפלים.</w:t>
                        </w:r>
                      </w:p>
                      <w:p w:rsidR="009F4D3D" w:rsidRDefault="009F4D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סעיף זה יחולו באין הסכם אחר בין הצדדים; אין בהן כדי לגרוע מזכות</w:t>
                        </w:r>
                      </w:p>
                      <w:p w:rsidR="009F4D3D" w:rsidRPr="008C481F" w:rsidRDefault="009F4D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לפיצויים או מתרופה אחרת בשל החיבור.</w:t>
                        </w:r>
                      </w:p>
                    </w:tc>
                    <w:tc>
                      <w:tcPr>
                        <w:tcW w:w="758" w:type="pct"/>
                      </w:tcPr>
                      <w:p w:rsidR="009F4D3D" w:rsidRPr="008C481F" w:rsidRDefault="009F4D3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חיבור וערבוב</w:t>
                        </w:r>
                      </w:p>
                    </w:tc>
                  </w:tr>
                  <w:tr w:rsidR="009F4D3D" w:rsidRPr="008C481F">
                    <w:trPr>
                      <w:jc w:val="right"/>
                    </w:trPr>
                    <w:tc>
                      <w:tcPr>
                        <w:tcW w:w="4242" w:type="pct"/>
                      </w:tcPr>
                      <w:p w:rsidR="009F4D3D" w:rsidRDefault="009F4D3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(א) היו המיטלטלין של אחד הבעלים המשותפים האמורים בסעיף 4 (א) משועבדים</w:t>
                        </w:r>
                      </w:p>
                      <w:p w:rsidR="009F4D3D" w:rsidRDefault="009F4D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ערב החיבור, יחול השעבוד על חלקו במיטלטלין המחוברים.</w:t>
                        </w:r>
                      </w:p>
                      <w:p w:rsidR="009F4D3D" w:rsidRDefault="009F4D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היו המיטלטלין העיקריים האמורים בסעיף 4 (ב) משועבדים ערב החיבור,</w:t>
                        </w:r>
                      </w:p>
                      <w:p w:rsidR="009F4D3D" w:rsidRDefault="009F4D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 השעבוד גם על המיטלטלין שהבעלות בהם עברה לפי אותה הוראה; היו המיטלטלין</w:t>
                        </w:r>
                      </w:p>
                      <w:p w:rsidR="009F4D3D" w:rsidRDefault="009F4D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הטפלים משועבדים, יחול השעבוד על החיוב שחב בו בעל המיטלטלין העיקריים.</w:t>
                        </w:r>
                      </w:p>
                      <w:p w:rsidR="009F4D3D" w:rsidRDefault="009F4D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נתחלף משכון מכוח סעיף זה, על הצדדים לעשות, לפי דרישת הנושה, את</w:t>
                        </w:r>
                      </w:p>
                      <w:p w:rsidR="009F4D3D" w:rsidRDefault="009F4D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הפעולות הדרושות לפי חוק המשכון, תשכ"ז-1967 1, כדי שכוחו של המשכון יהא יפה</w:t>
                        </w:r>
                      </w:p>
                      <w:p w:rsidR="009F4D3D" w:rsidRDefault="009F4D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כלפי נושים אחרים של החייב.</w:t>
                        </w:r>
                      </w:p>
                      <w:p w:rsidR="009F4D3D" w:rsidRPr="008C481F" w:rsidRDefault="009F4D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לענין סעיפים קטנים (א) ו-(ב) דין עיקול כדין שעבוד.</w:t>
                        </w:r>
                      </w:p>
                    </w:tc>
                    <w:tc>
                      <w:tcPr>
                        <w:tcW w:w="758" w:type="pct"/>
                      </w:tcPr>
                      <w:p w:rsidR="009F4D3D" w:rsidRDefault="009F4D3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שעבוד</w:t>
                        </w:r>
                      </w:p>
                      <w:p w:rsidR="009F4D3D" w:rsidRDefault="009F4D3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במיטלטלין</w:t>
                        </w:r>
                      </w:p>
                      <w:p w:rsidR="009F4D3D" w:rsidRPr="008C481F" w:rsidRDefault="009F4D3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מחוברים</w:t>
                        </w:r>
                      </w:p>
                    </w:tc>
                  </w:tr>
                  <w:tr w:rsidR="009F4D3D" w:rsidRPr="008C481F">
                    <w:trPr>
                      <w:jc w:val="right"/>
                    </w:trPr>
                    <w:tc>
                      <w:tcPr>
                        <w:tcW w:w="4242" w:type="pct"/>
                      </w:tcPr>
                      <w:p w:rsidR="009F4D3D" w:rsidRDefault="009F4D3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הוראות סעיפים 4 ו-5 יחולו, בשינויים המחוייבים, גם כשאדם גורם בעבודתו לשינוי</w:t>
                        </w:r>
                      </w:p>
                      <w:p w:rsidR="009F4D3D" w:rsidRPr="008C481F" w:rsidRDefault="009F4D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במיטלטלין של אחר; במקרה זה יראו את שווי העבודה כשווים של מיטלטלין.</w:t>
                        </w:r>
                      </w:p>
                    </w:tc>
                    <w:tc>
                      <w:tcPr>
                        <w:tcW w:w="758" w:type="pct"/>
                      </w:tcPr>
                      <w:p w:rsidR="009F4D3D" w:rsidRPr="008C481F" w:rsidRDefault="009F4D3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עיבוד</w:t>
                        </w:r>
                      </w:p>
                    </w:tc>
                  </w:tr>
                  <w:tr w:rsidR="009F4D3D" w:rsidRPr="008C481F">
                    <w:trPr>
                      <w:jc w:val="right"/>
                    </w:trPr>
                    <w:tc>
                      <w:tcPr>
                        <w:tcW w:w="4242" w:type="pct"/>
                      </w:tcPr>
                      <w:p w:rsidR="009F4D3D" w:rsidRPr="008C481F" w:rsidRDefault="009F4D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7, הבעלות במיטלטלין פוקעת כשבעלם מוציאם משליטתו תוך כוונה להפקירם.</w:t>
                        </w:r>
                      </w:p>
                    </w:tc>
                    <w:tc>
                      <w:tcPr>
                        <w:tcW w:w="758" w:type="pct"/>
                      </w:tcPr>
                      <w:p w:rsidR="009F4D3D" w:rsidRPr="008C481F" w:rsidRDefault="009F4D3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הפקרה</w:t>
                        </w:r>
                      </w:p>
                    </w:tc>
                  </w:tr>
                  <w:tr w:rsidR="009F4D3D" w:rsidRPr="008C481F">
                    <w:trPr>
                      <w:jc w:val="right"/>
                    </w:trPr>
                    <w:tc>
                      <w:tcPr>
                        <w:tcW w:w="4242" w:type="pct"/>
                      </w:tcPr>
                      <w:p w:rsidR="009F4D3D" w:rsidRDefault="009F4D3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 .סעיפים 15 עד 20 לחוק המקרקעין, תשכ"ט-1969 2, יחולו גם על הגנת הבעלות וההח-</w:t>
                        </w:r>
                      </w:p>
                      <w:p w:rsidR="009F4D3D" w:rsidRPr="008C481F" w:rsidRDefault="009F4D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זקה במיטלטלין.</w:t>
                        </w:r>
                      </w:p>
                    </w:tc>
                    <w:tc>
                      <w:tcPr>
                        <w:tcW w:w="758" w:type="pct"/>
                      </w:tcPr>
                      <w:p w:rsidR="009F4D3D" w:rsidRDefault="009F4D3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הגנת הבעלות</w:t>
                        </w:r>
                      </w:p>
                      <w:p w:rsidR="009F4D3D" w:rsidRPr="008C481F" w:rsidRDefault="009F4D3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וההחזקה</w:t>
                        </w:r>
                      </w:p>
                    </w:tc>
                  </w:tr>
                  <w:tr w:rsidR="009F4D3D" w:rsidRPr="008C481F">
                    <w:trPr>
                      <w:jc w:val="right"/>
                    </w:trPr>
                    <w:tc>
                      <w:tcPr>
                        <w:tcW w:w="4242" w:type="pct"/>
                      </w:tcPr>
                      <w:p w:rsidR="009F4D3D" w:rsidRDefault="009F4D3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(א) מיטלטלין שהם של כמה בעלים, בעלותו של כל אחד מהם לפי חלק ו כשיתוף</w:t>
                        </w:r>
                      </w:p>
                      <w:p w:rsidR="009F4D3D" w:rsidRDefault="009F4D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מתפשטת על מלוא המיטלטלין ואין לשום שותף חלק מסויים בהם.</w:t>
                        </w:r>
                      </w:p>
                      <w:p w:rsidR="009F4D3D" w:rsidRPr="008C481F" w:rsidRDefault="009F4D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חלקיהם של כל אחד מהשותפים במיטלטלין, חזקה שהם שווים,</w:t>
                        </w:r>
                      </w:p>
                    </w:tc>
                    <w:tc>
                      <w:tcPr>
                        <w:tcW w:w="758" w:type="pct"/>
                      </w:tcPr>
                      <w:p w:rsidR="009F4D3D" w:rsidRPr="008C481F" w:rsidRDefault="009F4D3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שיתוף</w:t>
                        </w:r>
                      </w:p>
                    </w:tc>
                  </w:tr>
                </w:tbl>
                <w:p w:rsidR="009F4D3D" w:rsidRDefault="009F4D3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2261" o:spid="_x0000_s1028" type="#_x0000_t202" style="position:absolute;left:0;text-align:left;margin-left:172.35pt;margin-top:72.2pt;width:199.8pt;height:29.1pt;z-index:1;mso-wrap-style:none;mso-position-horizontal-relative:page;mso-position-vertical-relative:page" stroked="f">
            <v:textbox style="mso-next-textbox:#_x0000_s32261" inset="0,0,0,0">
              <w:txbxContent>
                <w:p w:rsidR="009F4D3D" w:rsidRPr="008C481F" w:rsidRDefault="009F4D3D">
                  <w:pPr>
                    <w:pStyle w:val="OCRStyle1"/>
                    <w:ind w:left="220"/>
                    <w:rPr>
                      <w:sz w:val="30"/>
                      <w:szCs w:val="30"/>
                    </w:rPr>
                  </w:pPr>
                  <w:r>
                    <w:rPr>
                      <w:rtl/>
                    </w:rPr>
                    <w:t>חוק המיטלטלין, תשל"א-1971 *</w:t>
                  </w:r>
                </w:p>
              </w:txbxContent>
            </v:textbox>
            <w10:wrap anchorx="page" anchory="page"/>
          </v:shape>
        </w:pict>
      </w:r>
    </w:p>
    <w:p w:rsidR="00D53236" w:rsidRDefault="00D53236">
      <w:pPr>
        <w:rPr>
          <w:rtl/>
        </w:rPr>
      </w:pPr>
      <w:r>
        <w:rPr>
          <w:rtl/>
        </w:rPr>
        <w:br w:type="page"/>
      </w:r>
    </w:p>
    <w:p w:rsidR="00D53236" w:rsidRDefault="00000000">
      <w:pPr>
        <w:rPr>
          <w:rtl/>
        </w:rPr>
      </w:pPr>
      <w:r>
        <w:pict>
          <v:shape id="_x0000_s32262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2262" inset="0,0,0,0">
              <w:txbxContent>
                <w:p w:rsidR="009F4D3D" w:rsidRDefault="009F4D3D">
                  <w:r>
                    <w:rPr>
                      <w:rtl/>
                    </w:rPr>
                    <w:t>185                                          ספר החוקים 636                    ט"ו באב התשל"א 06.08.1971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32263" o:spid="_x0000_s1030" type="#_x0000_t202" style="position:absolute;left:0;text-align:left;margin-left:368.25pt;margin-top:702.65pt;width:166.3pt;height:54.25pt;z-index:6;mso-wrap-style:none;mso-position-horizontal-relative:page;mso-position-vertical-relative:page" stroked="f">
            <v:textbox style="mso-next-textbox:#_x0000_s32263" inset="0,0,0,0">
              <w:txbxContent>
                <w:p w:rsidR="009F4D3D" w:rsidRPr="00D53236" w:rsidRDefault="009F4D3D">
                  <w:pPr>
                    <w:pStyle w:val="OCRStyle2"/>
                    <w:ind w:left="396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3 ס"ח תשי"א, עמ' 52.</w:t>
                  </w:r>
                </w:p>
              </w:txbxContent>
            </v:textbox>
            <w10:wrap anchorx="page" anchory="page"/>
          </v:shape>
        </w:pict>
      </w:r>
      <w:r>
        <w:pict>
          <v:shape id="_x0000_s32264" o:spid="_x0000_s1031" type="#_x0000_t202" style="position:absolute;left:0;text-align:left;margin-left:83.3pt;margin-top:77.55pt;width:464.9pt;height:620.75pt;z-index:5;mso-wrap-style:none;mso-position-horizontal-relative:page;mso-position-vertical-relative:page" stroked="f">
            <v:textbox style="mso-next-textbox:#_x0000_s32264" inset="0,0,0,0">
              <w:txbxContent>
                <w:tbl>
                  <w:tblPr>
                    <w:tblW w:w="495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60"/>
                    <w:gridCol w:w="7293"/>
                  </w:tblGrid>
                  <w:tr w:rsidR="009F4D3D" w:rsidRPr="00D53236">
                    <w:trPr>
                      <w:jc w:val="right"/>
                    </w:trPr>
                    <w:tc>
                      <w:tcPr>
                        <w:tcW w:w="686" w:type="pct"/>
                      </w:tcPr>
                      <w:p w:rsidR="009F4D3D" w:rsidRPr="00D53236" w:rsidRDefault="009F4D3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סירוק השיתוף</w:t>
                        </w:r>
                      </w:p>
                    </w:tc>
                    <w:tc>
                      <w:tcPr>
                        <w:tcW w:w="4314" w:type="pct"/>
                      </w:tcPr>
                      <w:p w:rsidR="009F4D3D" w:rsidRDefault="009F4D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הסכם בין השותפים בדבר ניהול המיטלטלין המשותפים והשימוש בהם ובדבר</w:t>
                        </w:r>
                      </w:p>
                      <w:p w:rsidR="009F4D3D" w:rsidRDefault="009F4D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זכויות השותפים וחובותיהם בכל הנוגע למיטלטלין (להלן - הסכם שיתוף) כוחו יפה גם</w:t>
                        </w:r>
                      </w:p>
                      <w:p w:rsidR="009F4D3D" w:rsidRDefault="009F4D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כלפי אדם שנעשה שותף לאחר מכן וכלפי כל אדם אחר, ובלבד שהשותף או האחר ידע</w:t>
                        </w:r>
                      </w:p>
                      <w:p w:rsidR="009F4D3D" w:rsidRDefault="009F4D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היה עליו לדעת על קיום ההסכם ותנאיו.</w:t>
                        </w:r>
                      </w:p>
                      <w:p w:rsidR="009F4D3D" w:rsidRDefault="009F4D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הקנה אחד השותפים לאדם אחר זכות בחלקו במיטלטלין המשותפים; עליו</w:t>
                        </w:r>
                      </w:p>
                      <w:p w:rsidR="009F4D3D" w:rsidRDefault="009F4D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להודיע על כך לשאר השותפים, ואם נעשה הסכם שיתוף, עליו להודיע לאדם האחר על</w:t>
                        </w:r>
                      </w:p>
                      <w:p w:rsidR="009F4D3D" w:rsidRDefault="009F4D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קיום ההסכם ותנאיו.</w:t>
                        </w:r>
                      </w:p>
                      <w:p w:rsidR="009F4D3D" w:rsidRDefault="009F4D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באין הוראות אחרות בהסכם שיתוף יחולו הוראות סעיפים 30 עד 34,33 (א),</w:t>
                        </w:r>
                      </w:p>
                      <w:p w:rsidR="009F4D3D" w:rsidRDefault="009F4D3D">
                        <w:pPr>
                          <w:pStyle w:val="OCRStyle2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35 ו-36 לחוק המקרקעין, תשכ"ט-1969, גם על השיתוף במיטלטלין.</w:t>
                        </w:r>
                      </w:p>
                      <w:p w:rsidR="009F4D3D" w:rsidRDefault="009F4D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(א) כל שותף זכאי בכל עת לדרוש פירוק השיתוף; היתה בהסכם שיתוף תניה</w:t>
                        </w:r>
                      </w:p>
                      <w:p w:rsidR="009F4D3D" w:rsidRDefault="009F4D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השוללת או מגבילה זכות זו, רשאי בית המשפט לצוות על פירוק השיתוף, על אף התניה,</w:t>
                        </w:r>
                      </w:p>
                      <w:p w:rsidR="009F4D3D" w:rsidRDefault="009F4D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נראה לו הדבר צודק בנסיבות הענין.</w:t>
                        </w:r>
                      </w:p>
                      <w:p w:rsidR="009F4D3D" w:rsidRDefault="009F4D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פירוק השיתוף יהיה על פי הסכם בין השותפים, ובאין הסכם - על פי צו בית</w:t>
                        </w:r>
                      </w:p>
                      <w:p w:rsidR="009F4D3D" w:rsidRDefault="009F4D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המשפט, ורשאי בית המשפט לצוות על חלוקת המיטלטלין בעין, או על מכירתם וחלוקת</w:t>
                        </w:r>
                      </w:p>
                      <w:p w:rsidR="009F4D3D" w:rsidRDefault="009F4D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הפדיון, או על .דרך אחרת של פירוק השיתוף הנראית לו יעילה וצודקת יותר בנסיבות</w:t>
                        </w:r>
                      </w:p>
                      <w:p w:rsidR="009F4D3D" w:rsidRDefault="009F4D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הענין.</w:t>
                        </w:r>
                      </w:p>
                      <w:p w:rsidR="009F4D3D" w:rsidRDefault="009F4D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מכירת המיטלטלין על-פי צו בית המשפט תהיה בדרך שנמכרים מיטלטלין</w:t>
                        </w:r>
                      </w:p>
                      <w:p w:rsidR="009F4D3D" w:rsidRDefault="009F4D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מעוקלים בהוצאה לפועל, זולת אם הורה בית המשפט על דרך אחרת הנראית לו יעילה</w:t>
                        </w:r>
                      </w:p>
                      <w:p w:rsidR="009F4D3D" w:rsidRPr="00D53236" w:rsidRDefault="009F4D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וצודקת יותר בנסיבות הענין.</w:t>
                        </w:r>
                      </w:p>
                    </w:tc>
                  </w:tr>
                  <w:tr w:rsidR="009F4D3D" w:rsidRPr="00D53236">
                    <w:trPr>
                      <w:jc w:val="right"/>
                    </w:trPr>
                    <w:tc>
                      <w:tcPr>
                        <w:tcW w:w="686" w:type="pct"/>
                      </w:tcPr>
                      <w:p w:rsidR="009F4D3D" w:rsidRPr="00D53236" w:rsidRDefault="009F4D3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עיכבון</w:t>
                        </w:r>
                      </w:p>
                    </w:tc>
                    <w:tc>
                      <w:tcPr>
                        <w:tcW w:w="4314" w:type="pct"/>
                      </w:tcPr>
                      <w:p w:rsidR="009F4D3D" w:rsidRDefault="009F4D3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(א) עיכנון הוא זכות על פי דין לעכב מיטלטלין כערובה לחיוב עד שיסולק החיוב,</w:t>
                        </w:r>
                      </w:p>
                      <w:p w:rsidR="009F4D3D" w:rsidRDefault="009F4D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עלה שווי המיטלטלין המעוכבים על שווי החיוב במידה בלתי סבירה, זכאי</w:t>
                        </w:r>
                      </w:p>
                      <w:p w:rsidR="009F4D3D" w:rsidRDefault="009F4D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החייב לשחרור מקצת המיטלטלין אם הם ניתנים להפרדה לחלקים.</w:t>
                        </w:r>
                      </w:p>
                      <w:p w:rsidR="009F4D3D" w:rsidRDefault="009F4D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החייב זכאי לשחרר את המיטלטלין מן העיכבון במתן ערובה מספקת אחרת</w:t>
                        </w:r>
                      </w:p>
                      <w:p w:rsidR="009F4D3D" w:rsidRDefault="009F4D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לסילוק החיוב.</w:t>
                        </w:r>
                      </w:p>
                      <w:p w:rsidR="009F4D3D" w:rsidRDefault="009F4D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הוציא הנושה ברצונו את המיטלטלין המעוכבים משליטתו, יפקע העיכבון.</w:t>
                        </w:r>
                      </w:p>
                      <w:p w:rsidR="009F4D3D" w:rsidRDefault="009F4D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מקום שיש עיכבון במקרקעין, יחולו הוראות סעיף זה גם עליון כן יחולו הוראות</w:t>
                        </w:r>
                      </w:p>
                      <w:p w:rsidR="009F4D3D" w:rsidRPr="00D53236" w:rsidRDefault="009F4D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 על עיכבון על פי הסכם, כשאין בהסכם הוראות אחרות לענין הנדון.</w:t>
                        </w:r>
                      </w:p>
                    </w:tc>
                  </w:tr>
                  <w:tr w:rsidR="009F4D3D" w:rsidRPr="00D53236">
                    <w:trPr>
                      <w:jc w:val="right"/>
                    </w:trPr>
                    <w:tc>
                      <w:tcPr>
                        <w:tcW w:w="686" w:type="pct"/>
                      </w:tcPr>
                      <w:p w:rsidR="009F4D3D" w:rsidRPr="00D53236" w:rsidRDefault="009F4D3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עסקאות נוגדות</w:t>
                        </w:r>
                      </w:p>
                    </w:tc>
                    <w:tc>
                      <w:tcPr>
                        <w:tcW w:w="4314" w:type="pct"/>
                      </w:tcPr>
                      <w:p w:rsidR="009F4D3D" w:rsidRDefault="009F4D3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התחייב אדם להקנות לחברו בעלות או זכות אחרת במיטלטלין, ולפני שמסר לו את</w:t>
                        </w:r>
                      </w:p>
                      <w:p w:rsidR="009F4D3D" w:rsidRDefault="009F4D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המיטלטלין או הקנה לו את הזכות חזר והתחייב עם אדם אחר בהקניה נוגדת, זכותו של</w:t>
                        </w:r>
                      </w:p>
                      <w:p w:rsidR="009F4D3D" w:rsidRDefault="009F4D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הראשון עדיפה, אך אם השני התקשר בעסקה וקיבל את המיטלטלין או את הזכות בתום</w:t>
                        </w:r>
                      </w:p>
                      <w:p w:rsidR="009F4D3D" w:rsidRPr="00D53236" w:rsidRDefault="009F4D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 ובתמורה - זכותו עדיפה.</w:t>
                        </w:r>
                      </w:p>
                    </w:tc>
                  </w:tr>
                  <w:tr w:rsidR="009F4D3D" w:rsidRPr="00D53236">
                    <w:trPr>
                      <w:jc w:val="right"/>
                    </w:trPr>
                    <w:tc>
                      <w:tcPr>
                        <w:tcW w:w="686" w:type="pct"/>
                      </w:tcPr>
                      <w:p w:rsidR="009F4D3D" w:rsidRPr="00D53236" w:rsidRDefault="009F4D3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</w:t>
                        </w:r>
                      </w:p>
                    </w:tc>
                    <w:tc>
                      <w:tcPr>
                        <w:tcW w:w="4314" w:type="pct"/>
                      </w:tcPr>
                      <w:p w:rsidR="009F4D3D" w:rsidRDefault="009F4D3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 xml:space="preserve">13. (א) הוראות חוק זה יחולו, ככל שהדבר מתאים לענין ובשינויים המחוייבים, גם </w:t>
                        </w:r>
                      </w:p>
                      <w:p w:rsidR="009F4D3D" w:rsidRDefault="009F4D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זכויות.</w:t>
                        </w:r>
                      </w:p>
                      <w:p w:rsidR="009F4D3D" w:rsidRPr="00D53236" w:rsidRDefault="009F4D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חוק זה יחולו כשאין בחוק אחר הוראות מיוחדות לענין הנדון.</w:t>
                        </w:r>
                      </w:p>
                    </w:tc>
                  </w:tr>
                  <w:tr w:rsidR="009F4D3D" w:rsidRPr="00D53236">
                    <w:trPr>
                      <w:jc w:val="right"/>
                    </w:trPr>
                    <w:tc>
                      <w:tcPr>
                        <w:tcW w:w="686" w:type="pct"/>
                      </w:tcPr>
                      <w:p w:rsidR="009F4D3D" w:rsidRDefault="009F4D3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 נכסי</w:t>
                        </w:r>
                      </w:p>
                      <w:p w:rsidR="009F4D3D" w:rsidRDefault="009F4D3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 xml:space="preserve">המדינה, תשי"א - </w:t>
                        </w:r>
                      </w:p>
                      <w:p w:rsidR="009F4D3D" w:rsidRPr="00D53236" w:rsidRDefault="009F4D3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1951</w:t>
                        </w:r>
                      </w:p>
                    </w:tc>
                    <w:tc>
                      <w:tcPr>
                        <w:tcW w:w="4314" w:type="pct"/>
                      </w:tcPr>
                      <w:p w:rsidR="009F4D3D" w:rsidRDefault="009F4D3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בסעיף 3 לחוק נכסי המדינה, -תשי"א-1951 3, כרישה, במקום "נכס המצוי" יבוא</w:t>
                        </w:r>
                      </w:p>
                      <w:p w:rsidR="009F4D3D" w:rsidRPr="00D53236" w:rsidRDefault="009F4D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"נכס מקרקעין המצוי".</w:t>
                        </w:r>
                      </w:p>
                    </w:tc>
                  </w:tr>
                </w:tbl>
                <w:p w:rsidR="009F4D3D" w:rsidRDefault="009F4D3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F4D3D" w:rsidRDefault="009F4D3D">
      <w:pPr>
        <w:rPr>
          <w:rtl/>
        </w:rPr>
      </w:pPr>
      <w:r>
        <w:rPr>
          <w:rtl/>
        </w:rPr>
        <w:br w:type="page"/>
      </w:r>
    </w:p>
    <w:p w:rsidR="009F4D3D" w:rsidRDefault="00000000">
      <w:pPr>
        <w:rPr>
          <w:rtl/>
        </w:rPr>
      </w:pPr>
      <w:r>
        <w:pict>
          <v:shape id="_x0000_s32265" o:spid="_x0000_s1032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32265" inset="0,0,0,0">
              <w:txbxContent>
                <w:p w:rsidR="009F4D3D" w:rsidRDefault="009F4D3D">
                  <w:r>
                    <w:rPr>
                      <w:rtl/>
                    </w:rPr>
                    <w:t>186                                          ספר החוקים 636                    ט"ו באב התשל"א 06.08.1971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32266" o:spid="_x0000_s1033" type="#_x0000_t202" style="position:absolute;left:0;text-align:left;margin-left:302.1pt;margin-top:319.35pt;width:155.85pt;height:22.35pt;z-index:12;mso-wrap-style:none;mso-position-horizontal-relative:page;mso-position-vertical-relative:page" stroked="f">
            <v:textbox style="mso-next-textbox:#_x0000_s32266" inset="0,0,0,0">
              <w:txbxContent>
                <w:p w:rsidR="009F4D3D" w:rsidRPr="009F4D3D" w:rsidRDefault="009F4D3D">
                  <w:pPr>
                    <w:pStyle w:val="OCRStyle3"/>
                    <w:ind w:left="184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4 זיני מדינת ישראל, נוסח חדש 1, עמי 2.</w:t>
                  </w:r>
                </w:p>
              </w:txbxContent>
            </v:textbox>
            <w10:wrap anchorx="page" anchory="page"/>
          </v:shape>
        </w:pict>
      </w:r>
      <w:r>
        <w:pict>
          <v:shape id="_x0000_s32267" o:spid="_x0000_s1034" type="#_x0000_t202" style="position:absolute;left:0;text-align:left;margin-left:85.1pt;margin-top:246.1pt;width:116.25pt;height:41.4pt;z-index:11;mso-wrap-style:none;mso-position-horizontal-relative:page;mso-position-vertical-relative:page" stroked="f">
            <v:textbox style="mso-next-textbox:#_x0000_s32267" inset="0,0,0,0">
              <w:txbxContent>
                <w:p w:rsidR="009F4D3D" w:rsidRDefault="009F4D3D">
                  <w:pPr>
                    <w:pStyle w:val="OCRStyle3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יעקב ש' שפירא</w:t>
                  </w:r>
                </w:p>
                <w:p w:rsidR="009F4D3D" w:rsidRDefault="009F4D3D">
                  <w:pPr>
                    <w:pStyle w:val="OCRStyle3"/>
                    <w:ind w:left="432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2268" o:spid="_x0000_s1035" type="#_x0000_t202" style="position:absolute;left:0;text-align:left;margin-left:222.9pt;margin-top:244.5pt;width:93.05pt;height:36.05pt;z-index:10;mso-wrap-style:none;mso-position-horizontal-relative:page;mso-position-vertical-relative:page" stroked="f">
            <v:textbox style="mso-next-textbox:#_x0000_s32268" inset="0,0,0,0">
              <w:txbxContent>
                <w:p w:rsidR="009F4D3D" w:rsidRDefault="009F4D3D">
                  <w:pPr>
                    <w:pStyle w:val="OCRStyle3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9F4D3D" w:rsidRDefault="009F4D3D">
                  <w:pPr>
                    <w:pStyle w:val="OCRStyle3"/>
                    <w:ind w:left="31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269" o:spid="_x0000_s1036" type="#_x0000_t202" style="position:absolute;left:0;text-align:left;margin-left:339.1pt;margin-top:273.8pt;width:136.05pt;height:40.4pt;z-index:9;mso-wrap-style:none;mso-position-horizontal-relative:page;mso-position-vertical-relative:page" stroked="f">
            <v:textbox style="mso-next-textbox:#_x0000_s32269" inset="0,0,0,0">
              <w:txbxContent>
                <w:p w:rsidR="009F4D3D" w:rsidRDefault="009F4D3D">
                  <w:pPr>
                    <w:pStyle w:val="OCRStyle3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שגיאור זלמן שזר</w:t>
                  </w:r>
                </w:p>
                <w:p w:rsidR="009F4D3D" w:rsidRDefault="009F4D3D">
                  <w:pPr>
                    <w:pStyle w:val="OCRStyle3"/>
                    <w:ind w:left="74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270" o:spid="_x0000_s1037" type="#_x0000_t202" style="position:absolute;left:0;text-align:left;margin-left:81.7pt;margin-top:86.9pt;width:460.55pt;height:141.95pt;z-index:8;mso-wrap-style:none;mso-position-horizontal-relative:page;mso-position-vertical-relative:page" stroked="f">
            <v:textbox style="mso-next-textbox:#_x0000_s32270" inset="0,0,0,0">
              <w:txbxContent>
                <w:tbl>
                  <w:tblPr>
                    <w:tblW w:w="491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52"/>
                    <w:gridCol w:w="1221"/>
                  </w:tblGrid>
                  <w:tr w:rsidR="009F4D3D" w:rsidRPr="009F4D3D">
                    <w:trPr>
                      <w:jc w:val="right"/>
                    </w:trPr>
                    <w:tc>
                      <w:tcPr>
                        <w:tcW w:w="4271" w:type="pct"/>
                      </w:tcPr>
                      <w:p w:rsidR="009F4D3D" w:rsidRDefault="009F4D3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כסעיף 1 לפקודת הפרשנות 4, במקום הגדרת "מיטלטלין" או "טובין" יבוא:</w:t>
                        </w:r>
                      </w:p>
                      <w:p w:rsidR="009F4D3D" w:rsidRDefault="009F4D3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""מיטלטלין" -או "טובין" - נכסים מוחשיים, חוץ ממקרקעין? אולם</w:t>
                        </w:r>
                      </w:p>
                      <w:p w:rsidR="009F4D3D" w:rsidRDefault="009F4D3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מקום שהמלה "מיטלטלין" או "טובין" באה בחיקוק שניתן לפני</w:t>
                        </w:r>
                      </w:p>
                      <w:p w:rsidR="009F4D3D" w:rsidRDefault="009F4D3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 חוק המיטלטלין, תשל"א-1971, תהא משמעותה כמשמעות</w:t>
                        </w:r>
                      </w:p>
                      <w:p w:rsidR="009F4D3D" w:rsidRDefault="009F4D3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שהיתה נודעת לה אילולא החוק האמור?",</w:t>
                        </w:r>
                      </w:p>
                    </w:tc>
                    <w:tc>
                      <w:tcPr>
                        <w:tcW w:w="729" w:type="pct"/>
                      </w:tcPr>
                      <w:p w:rsidR="009F4D3D" w:rsidRDefault="009F4D3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פקודת</w:t>
                        </w:r>
                      </w:p>
                      <w:p w:rsidR="009F4D3D" w:rsidRPr="009F4D3D" w:rsidRDefault="009F4D3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הפרשנות</w:t>
                        </w:r>
                      </w:p>
                    </w:tc>
                  </w:tr>
                  <w:tr w:rsidR="009F4D3D" w:rsidRPr="009F4D3D">
                    <w:trPr>
                      <w:jc w:val="right"/>
                    </w:trPr>
                    <w:tc>
                      <w:tcPr>
                        <w:tcW w:w="4271" w:type="pct"/>
                      </w:tcPr>
                      <w:p w:rsidR="009F4D3D" w:rsidRPr="009F4D3D" w:rsidRDefault="009F4D3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הספר השמיני והספר העשירי של המג'לה - בטלים.</w:t>
                        </w:r>
                      </w:p>
                    </w:tc>
                    <w:tc>
                      <w:tcPr>
                        <w:tcW w:w="729" w:type="pct"/>
                      </w:tcPr>
                      <w:p w:rsidR="009F4D3D" w:rsidRPr="009F4D3D" w:rsidRDefault="009F4D3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</w:t>
                        </w:r>
                      </w:p>
                    </w:tc>
                  </w:tr>
                  <w:tr w:rsidR="009F4D3D" w:rsidRPr="009F4D3D">
                    <w:trPr>
                      <w:jc w:val="right"/>
                    </w:trPr>
                    <w:tc>
                      <w:tcPr>
                        <w:tcW w:w="4271" w:type="pct"/>
                      </w:tcPr>
                      <w:p w:rsidR="009F4D3D" w:rsidRPr="009F4D3D" w:rsidRDefault="009F4D3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חוק זה תחילתו ביום י"ד בשבט תשל"ב (1 בינואר 1972),</w:t>
                        </w:r>
                      </w:p>
                    </w:tc>
                    <w:tc>
                      <w:tcPr>
                        <w:tcW w:w="729" w:type="pct"/>
                      </w:tcPr>
                      <w:p w:rsidR="009F4D3D" w:rsidRPr="009F4D3D" w:rsidRDefault="009F4D3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קהילה</w:t>
                        </w:r>
                      </w:p>
                    </w:tc>
                  </w:tr>
                </w:tbl>
                <w:p w:rsidR="009F4D3D" w:rsidRDefault="009F4D3D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C481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C481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3C49A13-7741-41CB-BB9B-87CE9ABF2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C481F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D53236"/>
    <w:rPr>
      <w:rFonts w:ascii="Arial" w:hAnsi="Arial" w:cs="Arial"/>
      <w:sz w:val="22"/>
      <w:szCs w:val="22"/>
    </w:rPr>
  </w:style>
  <w:style w:type="paragraph" w:customStyle="1" w:styleId="OCRStyle3">
    <w:name w:val="OCR Style #3"/>
    <w:basedOn w:val="a"/>
    <w:rsid w:val="009F4D3D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2008-04-09T15:07:00Z</dcterms:created>
  <dcterms:modified xsi:type="dcterms:W3CDTF">2008-04-09T15:07:00Z</dcterms:modified>
</cp:coreProperties>
</file>