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64B5" w:rsidRDefault="00A064B5">
      <w:pPr>
        <w:rPr>
          <w:rtl/>
        </w:rPr>
      </w:pPr>
    </w:p>
    <w:p w:rsidR="00A064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30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301" inset="0,0,0,0">
              <w:txbxContent>
                <w:p w:rsidR="00A33391" w:rsidRDefault="00A33391">
                  <w:r>
                    <w:rPr>
                      <w:rtl/>
                    </w:rPr>
                    <w:t>48                                           ספר החוקים 496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02" o:spid="_x0000_s1026" type="#_x0000_t202" style="position:absolute;left:0;text-align:left;margin-left:92pt;margin-top:662.4pt;width:388.65pt;height:83.35pt;z-index:3;mso-wrap-style:none;mso-position-horizontal-relative:page;mso-position-vertical-relative:page" stroked="f">
            <v:textbox style="mso-next-textbox:#_x0000_s32302" inset="0,0,0,0">
              <w:txbxContent>
                <w:p w:rsidR="00A33391" w:rsidRDefault="00A33391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תשכ''ז (12 באפריל 1967); הצעת החוק ודברי הסבר פורסמו בה"ח 669, תשכ"ה,</w:t>
                  </w:r>
                </w:p>
                <w:p w:rsidR="00A33391" w:rsidRPr="00A064B5" w:rsidRDefault="00A33391">
                  <w:pPr>
                    <w:pStyle w:val="OCRStyle1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03" o:spid="_x0000_s1027" type="#_x0000_t202" style="position:absolute;left:0;text-align:left;margin-left:92pt;margin-top:276.5pt;width:464.7pt;height:378.4pt;z-index:2;mso-wrap-style:none;mso-position-horizontal-relative:page;mso-position-vertical-relative:page" stroked="f">
            <v:textbox style="mso-next-textbox:#_x0000_s32303" inset="0,0,0,0">
              <w:txbxContent>
                <w:tbl>
                  <w:tblPr>
                    <w:tblW w:w="49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8"/>
                    <w:gridCol w:w="1382"/>
                  </w:tblGrid>
                  <w:tr w:rsidR="00A33391" w:rsidRPr="00A064B5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A33391" w:rsidRDefault="00A3339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(א) מישכון הוא שעבוד נכס כערובה לחיוב; הוא מזכה את הנושה להיפרע מן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המשכון אם לא סולק החיוב.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הערובה יכול שתהיה לחיוב כולו או מקצתו, קיים או עתיד לבוא, מתחדש או</w:t>
                        </w:r>
                      </w:p>
                      <w:p w:rsidR="00A33391" w:rsidRPr="00A064B5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מותנה, קצוב או בלתי קצוב.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33391" w:rsidRPr="00A064B5" w:rsidRDefault="00A33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 המישכון</w:t>
                        </w:r>
                      </w:p>
                    </w:tc>
                  </w:tr>
                  <w:tr w:rsidR="00A33391" w:rsidRPr="00A064B5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A33391" w:rsidRDefault="00A33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הוראות חוק זה יחולו כשאין בדין אחר הוראות מיוחדות לענין הנדון.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הוראות חוק זה יחולו על כל עסקה שכוונתה שעבוד נכס כערובה לחיוב, יהא</w:t>
                        </w:r>
                      </w:p>
                      <w:p w:rsidR="00A33391" w:rsidRPr="00A064B5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כינויה של העסקה אשר יהא.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33391" w:rsidRPr="00A064B5" w:rsidRDefault="00A33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A33391" w:rsidRPr="00A064B5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A33391" w:rsidRDefault="00A33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מישכון נוצר כהסכם בין החייב לבין הנושה.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הגבלה או תנאי החלים, לפי דין או הסכם, על העברת בעלות בנכס יחולו גם על</w:t>
                        </w:r>
                      </w:p>
                      <w:p w:rsidR="00A33391" w:rsidRPr="00A064B5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מישכונו.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33391" w:rsidRPr="00A064B5" w:rsidRDefault="00A33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יצירת המישכון</w:t>
                        </w:r>
                      </w:p>
                    </w:tc>
                  </w:tr>
                  <w:tr w:rsidR="00A33391" w:rsidRPr="00A064B5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A33391" w:rsidRDefault="00A33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כלפי נושים אחרים של החייב יהיה כוחו של מישכון יפה -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בנכסים שיש לגביהם בדין אחר הוראות מיוחדות לענין זה - בהתאם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לאותן הוראות: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בנכסים נדים ובניירות ערך שאין לגביהם בדין אחר הוראות מיוחדות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והם הופקדו בידי הנושה או בידי שומר מטעם הנושה שאיננו החייב -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הפקדתם כאמור וכל עוד הם מופקדים: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בנכסים נדים ובניירות ערך שלא הופקדו כאמור ובכל מקרה אחר - עם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המישכון בהתאם לתקנות שהותקנו לפי חוק זה, אולם כלפי נושה שידע</w:t>
                        </w:r>
                      </w:p>
                      <w:p w:rsidR="00A33391" w:rsidRPr="00A064B5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היה עליו לדעת על המישכון יהיה כוחו של המישכון יפה אף ללא רישום.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33391" w:rsidRDefault="00A33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כוחו של המישכון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כלפי נושים</w:t>
                        </w:r>
                      </w:p>
                      <w:p w:rsidR="00A33391" w:rsidRPr="00A064B5" w:rsidRDefault="00A33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  <w:tr w:rsidR="00A33391" w:rsidRPr="00A064B5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A33391" w:rsidRDefault="00A33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נכסים נדים שמושכנו כשהיו בהחזקתו של הממשכן והם הופקדו כאמור בסעיף 4 (2)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שמישכונם נרשם כאמור בסעיף 4(3), יהיה כוחו של המישכון יפה לכל דבר, אף אם</w:t>
                        </w:r>
                      </w:p>
                      <w:p w:rsidR="00A33391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הממשכן לא היה בעל הנכסים או לא היה זכאי למשכנם, ובלבד שהנושה פעל בתום-לב</w:t>
                        </w:r>
                      </w:p>
                      <w:p w:rsidR="00A33391" w:rsidRPr="00A064B5" w:rsidRDefault="00A33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והנכסים באו לידי הממשכן על דעת בעליהם או על דעת מי שהיה זכאי להחזיקם.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A33391" w:rsidRPr="00A064B5" w:rsidRDefault="00A333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תקנת השוק</w:t>
                        </w:r>
                      </w:p>
                    </w:tc>
                  </w:tr>
                </w:tbl>
                <w:p w:rsidR="00A33391" w:rsidRDefault="00A333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04" o:spid="_x0000_s1028" type="#_x0000_t202" style="position:absolute;left:0;text-align:left;margin-left:199.35pt;margin-top:233.95pt;width:164.55pt;height:38.6pt;z-index:1;mso-wrap-style:none;mso-position-horizontal-relative:page;mso-position-vertical-relative:page" stroked="f">
            <v:textbox style="mso-next-textbox:#_x0000_s32304" inset="0,0,0,0">
              <w:txbxContent>
                <w:p w:rsidR="00A33391" w:rsidRPr="00A064B5" w:rsidRDefault="00A33391">
                  <w:pPr>
                    <w:pStyle w:val="OCRStyle1"/>
                    <w:ind w:left="16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המשכון, תשכ"ז-1967*</w:t>
                  </w:r>
                </w:p>
              </w:txbxContent>
            </v:textbox>
            <w10:wrap anchorx="page" anchory="page"/>
          </v:shape>
        </w:pict>
      </w:r>
    </w:p>
    <w:p w:rsidR="00FA58F4" w:rsidRDefault="00FA58F4">
      <w:pPr>
        <w:rPr>
          <w:rtl/>
        </w:rPr>
      </w:pPr>
      <w:r>
        <w:rPr>
          <w:rtl/>
        </w:rPr>
        <w:br w:type="page"/>
      </w:r>
    </w:p>
    <w:p w:rsidR="00FA58F4" w:rsidRDefault="00000000">
      <w:pPr>
        <w:rPr>
          <w:rtl/>
        </w:rPr>
      </w:pPr>
      <w:r>
        <w:pict>
          <v:shape id="_x0000_s3230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305" inset="0,0,0,0">
              <w:txbxContent>
                <w:p w:rsidR="00A33391" w:rsidRDefault="00A33391">
                  <w:r>
                    <w:rPr>
                      <w:rtl/>
                    </w:rPr>
                    <w:t>49                                           ספר החוקים 496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06" o:spid="_x0000_s1030" type="#_x0000_t202" style="position:absolute;left:0;text-align:left;margin-left:360.45pt;margin-top:730.85pt;width:190.65pt;height:21.8pt;z-index:6;mso-wrap-style:none;mso-position-horizontal-relative:page;mso-position-vertical-relative:page" stroked="f">
            <v:textbox style="mso-next-textbox:#_x0000_s32306" inset="0,0,0,0">
              <w:txbxContent>
                <w:p w:rsidR="00A33391" w:rsidRDefault="00A333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307" o:spid="_x0000_s1031" type="#_x0000_t202" style="position:absolute;left:0;text-align:left;margin-left:95.75pt;margin-top:77.45pt;width:455.4pt;height:646.05pt;z-index:5;mso-wrap-style:none;mso-position-horizontal-relative:page;mso-position-vertical-relative:page" stroked="f">
            <v:textbox style="mso-next-textbox:#_x0000_s32307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2"/>
                    <w:gridCol w:w="7117"/>
                  </w:tblGrid>
                  <w:tr w:rsidR="00A33391" w:rsidRPr="00FA58F4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33391" w:rsidRPr="00FA58F4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מישכון נוסף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החייב רשאי לשעבד את הנכס הממושכן במישכון נוסף בלי נטילת רשות מאת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הנושה; אולם נושה נוסף לא יוכל להיפרע מן המשכון אלא לאחר שסולק החיוב שהובטח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במישכון שלפניו; והכל באין קביעה אחרת בהסכם המישכון הקודם.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בהסכמת הנושה רשאי החייב לשעבד את הנכס הממושכן במישכון נוסף שדרגתו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שווה לדרגת המישכון של אותו נושה או עדיפה ממנה.</w:t>
                        </w:r>
                      </w:p>
                    </w:tc>
                  </w:tr>
                  <w:tr w:rsidR="00A33391" w:rsidRPr="00FA58F4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תחומה קול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הערובה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המשכון משמש ערובה גם לריבית, להוצאות ולדמי נזק שנתחייב בהם החייב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החיוב ולהוצאות של שמירת המשכון ומימושו. ודינם של כל אלה כדין החיוב; והוא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קביעה אחרת בהסכם המישכון.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הוגדל היקפו של החיוב על פי הסכם בין החייב לבין הנושה, לא ישמש המשכון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 ליתרה שנוספה, זולת אם נוצר מישכון נוסף כערובה ליתרה.</w:t>
                        </w:r>
                      </w:p>
                    </w:tc>
                  </w:tr>
                  <w:tr w:rsidR="00A33391" w:rsidRPr="00FA58F4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33391" w:rsidRPr="00FA58F4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פירות המשכון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הופקד המשכון בידי הנושה או בידי שומר מטעם הנושה, יחול המישכון גם על פירות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המשכון; והוא באין קביעה אחרת בהסכם המישבון.</w:t>
                        </w:r>
                      </w:p>
                    </w:tc>
                  </w:tr>
                  <w:tr w:rsidR="00A33391" w:rsidRPr="00FA58F4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33391" w:rsidRPr="00FA58F4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חילופי המשכן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אבד המשכון או ניזוק או הופקע ויש לחייב בשל כך זכות לפיצוי או לשיפוי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צד שלישי, יחול המישכון על הזכות האמורה.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נתממשה זכות שמושכנה, כולל זכות כאמור בסעיף קטן (א), יחול המישכון על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שניתן במימושה של הזכות, אולם סכום שקיבל הנושה במימושה של הזכות דינו כאמור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22.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נתחלף המשכון מכוח סעיף זה, על החייב לעשות, לפי דרישת הנושה, את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הדרושות כדי שכוחו של המישכון יהא יפה כלפי נושים אחרים של החייב.</w:t>
                        </w:r>
                      </w:p>
                    </w:tc>
                  </w:tr>
                  <w:tr w:rsidR="00A33391" w:rsidRPr="00FA58F4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הנאה מהמשכון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ומפירותיו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הופקד המשכון בידי הנושה או בידי שומר מטעם הנושה שאיננו החייב (לשניהם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להלן - המחזיק), לא יהיה המחזיק רשאי להשתמש במשכון או לזכות כפירותיו, אלא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הרשה זאת החייב בהסכם המישכון או לאחר מכן.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הרשה החייב את השימוש במשכון או הזכיה כפירותיו, ישלם לו המחזיק, באין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אחר, את התמורה הראויה.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המשכון נושא פירות שמטבעם משתמרים, חזקה על החייב שהרשה למחזיק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בהם.</w:t>
                        </w:r>
                      </w:p>
                    </w:tc>
                  </w:tr>
                  <w:tr w:rsidR="00A33391" w:rsidRPr="00FA58F4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מישכון קול חלק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בנכס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.(א) מושכן חלק בלתי מסויים של נכס -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הבעלים המשותפים רשאים לחלק את הנכס אלא כהסכמת הנושה או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בית המשפט;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תהא זכותו של החייב לתבוע חלוקת הנכס נתונה גם- לנושה, משעה שהוא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לתבוע מימוש המשכון.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חולק הנכס בהתאם להוראות סעיף זה, יחול המישכון על מה שנפל בחלקו של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החייב.</w:t>
                        </w:r>
                      </w:p>
                    </w:tc>
                  </w:tr>
                  <w:tr w:rsidR="00A33391" w:rsidRPr="00FA58F4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מישכון להבטחת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חיובו של אחר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מושכן נכס של אדם כערובה לחיובו של אדם אחר, יהא דינו של בעל הנכס כדין מי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שערב אותו חיוב, אך אין להיפרע מבעל הנכס אלא במימוש המשכון כאמור בחוק זה.</w:t>
                        </w:r>
                      </w:p>
                    </w:tc>
                  </w:tr>
                  <w:tr w:rsidR="00A33391" w:rsidRPr="00FA58F4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33391" w:rsidRPr="00FA58F4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המשכון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A33391" w:rsidRDefault="00A333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החייב וכל אדם שזכותו עלולה להיפגע ממתן המשכון או ממימושו, רשאים</w:t>
                        </w:r>
                      </w:p>
                      <w:p w:rsidR="00A33391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לפדו המשכון על ידי קיום החיוב לאחר המועד לקיומו; והוא אף אם יש קביעה אחרת</w:t>
                        </w:r>
                      </w:p>
                      <w:p w:rsidR="00A33391" w:rsidRPr="00FA58F4" w:rsidRDefault="00A333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המישכון.</w:t>
                        </w:r>
                      </w:p>
                    </w:tc>
                  </w:tr>
                </w:tbl>
                <w:p w:rsidR="00A33391" w:rsidRDefault="00A333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45804" w:rsidRDefault="00245804">
      <w:pPr>
        <w:rPr>
          <w:rtl/>
        </w:rPr>
      </w:pPr>
      <w:r>
        <w:rPr>
          <w:rtl/>
        </w:rPr>
        <w:br w:type="page"/>
      </w:r>
    </w:p>
    <w:p w:rsidR="00245804" w:rsidRDefault="00000000">
      <w:pPr>
        <w:rPr>
          <w:rtl/>
        </w:rPr>
      </w:pPr>
      <w:r>
        <w:pict>
          <v:shape id="_x0000_s3230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308" inset="0,0,0,0">
              <w:txbxContent>
                <w:p w:rsidR="00A33391" w:rsidRDefault="00A33391">
                  <w:r>
                    <w:rPr>
                      <w:rtl/>
                    </w:rPr>
                    <w:t>50                                           ספר החוקים 496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09" o:spid="_x0000_s1033" type="#_x0000_t202" style="position:absolute;left:0;text-align:left;margin-left:88.15pt;margin-top:706.25pt;width:386.7pt;height:55.25pt;z-index:9;mso-wrap-style:none;mso-position-horizontal-relative:page;mso-position-vertical-relative:page" stroked="f">
            <v:textbox style="mso-next-textbox:#_x0000_s32309" inset="0,0,0,0">
              <w:txbxContent>
                <w:p w:rsidR="00A33391" w:rsidRPr="00245804" w:rsidRDefault="00A33391">
                  <w:pPr>
                    <w:pStyle w:val="OCRStyle3"/>
                    <w:ind w:left="270"/>
                  </w:pPr>
                  <w:r>
                    <w:rPr>
                      <w:rtl/>
                    </w:rPr>
                    <w:t>1 ס''ח 164, תשי''ד,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10" o:spid="_x0000_s1034" type="#_x0000_t202" style="position:absolute;left:0;text-align:left;margin-left:86.15pt;margin-top:81.95pt;width:472.05pt;height:620.15pt;z-index:8;mso-wrap-style:none;mso-position-horizontal-relative:page;mso-position-vertical-relative:page" stroked="f">
            <v:textbox style="mso-next-textbox:#_x0000_s32310" inset="0,0,0,0">
              <w:txbxContent>
                <w:tbl>
                  <w:tblPr>
                    <w:tblW w:w="50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8"/>
                    <w:gridCol w:w="1325"/>
                  </w:tblGrid>
                  <w:tr w:rsidR="00A33391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וכל אדם שזכותו עלולה להיפגע ממתן המשכון או ממימושו, רשאיק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לפדות את המשכון על ידי קיום החיוב לפגי המועד לקיומי; ובלבד שבחיוב לתשלום כסף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 ריבית ישלמו לנושה גס את הריבית שהיתה מגיעה לו עד המועד לקיום החיוב או בעד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אחרי התשלום, הכל לפי התקופה הקצרה יותר; סעיף קטן זה לא יחול אם יש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קבועה אחרת בהסכם המישכון ולא יחול על משכון שניתן להבטחת סדרה של איגרות חוב,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מושכן בכס בנסיבות האמורות כסעיף 5, רשאים בעל הנכס או האדם שהיה זכאי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להחזיקו לפדות את המשכון לפי סעיף קטן (ב) אף אם יש קביעה אחרת בהסכם המישכון,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בהוראות סעיף זה כדי להקנות זכות לפדות חלק מן המשכון על יד- קיומ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מן החיוג. זולת אם הוסכם על כך בהסכם המישכון.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33391" w:rsidRPr="00245804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נפדה משכון לפי סעיף 13 על ידי מי שאינו החייב, זכאי הפודה לחזור אל החייב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ולהיפרע ממנו כדין ערב שמילא את ערבותו, ואב הפודה לא היה כעל הנכס יעמוד לו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המשכון להבטחת זכותו זו.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משכון שליו</w:t>
                        </w:r>
                      </w:p>
                      <w:p w:rsidR="00A33391" w:rsidRPr="00245804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דחייב</w:t>
                        </w:r>
                      </w:p>
                    </w:tc>
                  </w:tr>
                  <w:tr w:rsidR="00A33391" w:rsidRPr="00245804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חדל החיוב, יפקע המישכון.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פקע המישכון, רשאי החייב לדרוש החזרת המשכון אם הופקד בידי הנושה או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שומר מטעם הנושה; נרשם המישכון, רשאי החייב לדרוש מחיקת הרישום.</w:t>
                        </w:r>
                      </w:p>
                      <w:p w:rsidR="00A33391" w:rsidRPr="00245804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לפגוע במשכון המשמש ערובה להיוב מתחדש.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391" w:rsidRPr="00245804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המישכון</w:t>
                        </w:r>
                      </w:p>
                    </w:tc>
                  </w:tr>
                  <w:tr w:rsidR="00A33391" w:rsidRPr="00245804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לא קויים החיוב במועדו, רשאי הנושה לממש את המשכון,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הצדדים רשאים להתנות על דרכי המימוש לפי חוק זה כל עוד לא הגיע</w:t>
                        </w:r>
                      </w:p>
                      <w:p w:rsidR="00A33391" w:rsidRPr="00245804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לקיום החיוב.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391" w:rsidRPr="00245804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המשכון</w:t>
                        </w:r>
                      </w:p>
                    </w:tc>
                  </w:tr>
                  <w:tr w:rsidR="00A33391" w:rsidRPr="00245804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מימוש המשכון יהיה על פי צו בית המשפט, אולם -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במשכון שיש לגביו בדין אחר הוראות מיוחדות לענין זה יהיה המימוש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לאותן הוראות: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במשכון שהופקד כאמור בסעיף 4 (2) או שנרשם כאמור בסעיף 4 (3) יכול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שהמימוש יהיה על פי צו ראש ההוצאה לפועל;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במשכון שהופקד כאמור בסעיף 4(2) והוא משמש ערובה לחיוב המגיע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בנקאי כמשמעותו בחוק בנק ישראל, תשי"ד-1954, 1 יכול שהמימוש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על ידי המוסד עצמו ללא צו כאמור?</w:t>
                        </w:r>
                      </w:p>
                      <w:p w:rsidR="00A33391" w:rsidRPr="00245804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במשכון שהוא זכות יכול שהמימוש יהיה כאמור בסעיף 20.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391" w:rsidRPr="00245804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המימוש</w:t>
                        </w:r>
                      </w:p>
                    </w:tc>
                  </w:tr>
                  <w:tr w:rsidR="00A33391" w:rsidRPr="00245804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מימוש משכון על פי צו בית המשפט או צו ראש ההוצאה לפועל יהיה בדרך של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נכס שהוטל עליו עיקול בהוצאה לפועל של פסק דין, זולת אם הורה ראש ההוצאה</w:t>
                        </w:r>
                      </w:p>
                      <w:p w:rsidR="00A33391" w:rsidRPr="00245804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על דרך אחרת שראה אותה יעילה וצודקת יותר בנסיבות הענין.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המימוש</w:t>
                        </w:r>
                      </w:p>
                      <w:p w:rsidR="00A33391" w:rsidRPr="00245804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בהוצאה לפועל</w:t>
                        </w:r>
                      </w:p>
                    </w:tc>
                  </w:tr>
                  <w:tr w:rsidR="00A33391" w:rsidRPr="00245804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מימוש של משכון כאמור בסעיף 17 (3) יהיה בהכירה בדרך מקובלת בשוק שבו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במכרים נכסים מאותו סוג, ובאין שוק כזה - בדרך מסחרית סבירה.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יפתח המוסד הבנקאי במימוש המשכון אלא לאחר שנתן לחייב ולכל אדם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שזכותו עלולה להיפגע מן המימוש - והוא ומענו ידועים למוסד - הודעה במועד סביר</w:t>
                        </w:r>
                      </w:p>
                      <w:p w:rsidR="00A33391" w:rsidRPr="00245804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על הצעדים שהוא עומד לנקוט למימוש המשכון.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המימוש</w:t>
                        </w:r>
                      </w:p>
                      <w:p w:rsidR="00A33391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מוסד</w:t>
                        </w:r>
                      </w:p>
                      <w:p w:rsidR="00A33391" w:rsidRPr="00245804" w:rsidRDefault="00A333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</w:t>
                        </w:r>
                      </w:p>
                    </w:tc>
                  </w:tr>
                </w:tbl>
                <w:p w:rsidR="00A33391" w:rsidRDefault="00A3339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33391" w:rsidRDefault="00A33391">
      <w:pPr>
        <w:rPr>
          <w:rtl/>
        </w:rPr>
      </w:pPr>
      <w:r>
        <w:rPr>
          <w:rtl/>
        </w:rPr>
        <w:br w:type="page"/>
      </w:r>
    </w:p>
    <w:p w:rsidR="00A33391" w:rsidRDefault="00000000">
      <w:pPr>
        <w:rPr>
          <w:rtl/>
        </w:rPr>
      </w:pPr>
      <w:r>
        <w:pict>
          <v:shape id="_x0000_s32311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2311" inset="0,0,0,0">
              <w:txbxContent>
                <w:p w:rsidR="00A33391" w:rsidRDefault="00A33391">
                  <w:r>
                    <w:rPr>
                      <w:rtl/>
                    </w:rPr>
                    <w:t>51                                           ספר החוקים 496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12" o:spid="_x0000_s1036" type="#_x0000_t202" style="position:absolute;left:0;text-align:left;margin-left:364.9pt;margin-top:697.65pt;width:192.65pt;height:42.75pt;z-index:15;mso-wrap-style:none;mso-position-horizontal-relative:page;mso-position-vertical-relative:page" stroked="f">
            <v:textbox style="mso-next-textbox:#_x0000_s32312" inset="0,0,0,0">
              <w:txbxContent>
                <w:p w:rsidR="00A33391" w:rsidRDefault="00A3339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313" o:spid="_x0000_s1037" type="#_x0000_t202" style="position:absolute;left:0;text-align:left;margin-left:159.55pt;margin-top:617.45pt;width:109.5pt;height:35.45pt;z-index:14;mso-wrap-style:none;mso-position-horizontal-relative:page;mso-position-vertical-relative:page" stroked="f">
            <v:textbox style="mso-next-textbox:#_x0000_s32313" inset="0,0,0,0">
              <w:txbxContent>
                <w:p w:rsidR="00A33391" w:rsidRDefault="00A33391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A33391" w:rsidRDefault="00A33391">
                  <w:pPr>
                    <w:pStyle w:val="OCRStyle4"/>
                    <w:ind w:left="45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14" o:spid="_x0000_s1038" type="#_x0000_t202" style="position:absolute;left:0;text-align:left;margin-left:307.45pt;margin-top:618.45pt;width:92.85pt;height:34.45pt;z-index:13;mso-wrap-style:none;mso-position-horizontal-relative:page;mso-position-vertical-relative:page" stroked="f">
            <v:textbox style="mso-next-textbox:#_x0000_s32314" inset="0,0,0,0">
              <w:txbxContent>
                <w:p w:rsidR="00A33391" w:rsidRDefault="00A33391">
                  <w:pPr>
                    <w:pStyle w:val="OCRStyle4"/>
                    <w:ind w:left="27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A33391" w:rsidRPr="00A33391" w:rsidRDefault="00A33391">
                  <w:pPr>
                    <w:pStyle w:val="OCRStyle4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15" o:spid="_x0000_s1039" type="#_x0000_t202" style="position:absolute;left:0;text-align:left;margin-left:420.1pt;margin-top:644.6pt;width:124.95pt;height:36.45pt;z-index:12;mso-wrap-style:none;mso-position-horizontal-relative:page;mso-position-vertical-relative:page" stroked="f">
            <v:textbox style="mso-next-textbox:#_x0000_s32315" inset="0,0,0,0">
              <w:txbxContent>
                <w:p w:rsidR="00A33391" w:rsidRDefault="00A33391">
                  <w:pPr>
                    <w:pStyle w:val="OCRStyle4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33391" w:rsidRDefault="00A33391">
                  <w:pPr>
                    <w:pStyle w:val="OCRStyle4"/>
                    <w:ind w:left="6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16" o:spid="_x0000_s1040" type="#_x0000_t202" style="position:absolute;left:0;text-align:left;margin-left:87.7pt;margin-top:53.75pt;width:466.9pt;height:558.55pt;z-index:11;mso-wrap-style:none;mso-position-horizontal-relative:page;mso-position-vertical-relative:page" stroked="f">
            <v:textbox style="mso-next-textbox:#_x0000_s32316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121"/>
                  </w:tblGrid>
                  <w:tr w:rsidR="00A3339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4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הבנקאי אחראי כלפי החייב וכל אדם כאמור בסעיף קטן (ב) לנזק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להם בשל מימוש המשכון שלא בהתאם להוראות חוק זה.</w:t>
                        </w:r>
                      </w:p>
                    </w:tc>
                  </w:tr>
                  <w:tr w:rsidR="00A33391" w:rsidRPr="00A3339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זנות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שמושבנה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מושכנה זכות שיש לחייב כלפי אדם אחר, רשאי הבושה לממשה כשם שהחייב היה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לממשה: הוא רשאי לעשות כן אף אם חל המועד לקיום הזכות לפני המועד לקיום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המובטח: והכל באין קביעה אחרת בהסכם המישכון.</w:t>
                        </w:r>
                      </w:p>
                    </w:tc>
                  </w:tr>
                  <w:tr w:rsidR="00A33391" w:rsidRPr="00A3339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מוקלט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משכין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בית המשפט רשאי, על פי בקשת החייב, הנושה או המחזיק במשכון, לצוות על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המשכון לפני שהגיע המועד לקיום החיוב או לתת הוראות אחרות שימצא לנכון. אם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שהנכס הממושכן עלול להתקלקל או לאבד שיעור ניכר מערכו או שזכויות הצדדים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עלולות להיפגע מסיבה אחרת.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מימוש המשכון לפי סעיף זה יהיה בדרך שיורה בית המשפט.</w:t>
                        </w:r>
                      </w:p>
                    </w:tc>
                  </w:tr>
                  <w:tr w:rsidR="00A33391" w:rsidRPr="00A3339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מוקדם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החיוב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.סכום שקיבל הנושה לפני המועד לקיום החיוב מתוך מימוש לפי סעיפים 20 או 21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ייזקף על חשבון החיוב, אם אין בין הצדדים הסכם אחר לענין זה.</w:t>
                        </w:r>
                      </w:p>
                    </w:tc>
                  </w:tr>
                  <w:tr w:rsidR="00A33391" w:rsidRPr="00A3339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החיוב שלא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המשכון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אין במתן המשכון כדי לגרוע מזכותו של הנושה לגבות את החיוב שלא על ידי מימושו,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במימוש המשכון כדי לגרוע מזכותו לגבות את יתרת החיוב שלא סולקה במימוש.</w:t>
                        </w:r>
                      </w:p>
                    </w:tc>
                  </w:tr>
                  <w:tr w:rsidR="00A33391" w:rsidRPr="00A3339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לענין חוק זה -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"החייב", חוץ מן האמור בסעיף 14 - לרבות בעל נכס שמושבן כערובה לחיובו של אדם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אחר?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"נושים אחרים של החייב" - לרבות הנאמן בפשיטת רגל של החייב, ואם היה החייב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בפירוק - המפרק: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"ניירות ערך" - תעודה, שטר או מסמך אחר המוצאים לפי דין או נוהג, לפקודה או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למוכ"ז, ומקנים לאוחז את הזכות הנדונה בהם.</w:t>
                        </w:r>
                      </w:p>
                    </w:tc>
                  </w:tr>
                  <w:tr w:rsidR="00A33391" w:rsidRPr="00A3339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שר המשפטים ממונה על ביצוע חוק זה והוא רשאי להתקין תקנות לביצועו, ובין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השאר להסדיר בתקנות -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הרישום של מישכונים לפי סעיף 4(3), לרבות סדרי הרישום של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מישכונים, תסיבתם, תיקון תנאיהם, פדיונם ומימושם:</w:t>
                        </w:r>
                      </w:p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עיון ברישומים וקבלת העתקים מהם: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תשלום אגרות בקשר לפעולות האמורות.</w:t>
                        </w:r>
                      </w:p>
                    </w:tc>
                  </w:tr>
                  <w:tr w:rsidR="00A33391" w:rsidRPr="00A3339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ושמירת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 (א) הספר החמישי וסעיפים 119-118 ו-403-3% של המג'לה - בטלים.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חוק זה כדי לגרוע מכל דין הנוגע לשעבוד צף על נכסי תאגיד.</w:t>
                        </w:r>
                      </w:p>
                    </w:tc>
                  </w:tr>
                  <w:tr w:rsidR="00A33391" w:rsidRPr="00A3339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והוראת מעבר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תחילתו של חוק זה ביום כ"ו באלול תשכ"ז (1 באוקטובר 1967) :על מישכונים שנוצרו</w:t>
                        </w:r>
                      </w:p>
                      <w:p w:rsidR="00A33391" w:rsidRPr="00A33391" w:rsidRDefault="00A333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חוק זה יוסיף לחול הדין הקודם.</w:t>
                        </w:r>
                      </w:p>
                    </w:tc>
                  </w:tr>
                </w:tbl>
                <w:p w:rsidR="00A33391" w:rsidRDefault="00A3339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64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F9FEBC-D1BB-46A1-AC97-95D54A13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64B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A58F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4580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3339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2008-04-09T13:57:00Z</dcterms:created>
  <dcterms:modified xsi:type="dcterms:W3CDTF">2008-04-09T13:58:00Z</dcterms:modified>
</cp:coreProperties>
</file>