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1166" w:rsidRDefault="00C51166">
      <w:pPr>
        <w:rPr>
          <w:rtl/>
        </w:rPr>
      </w:pPr>
    </w:p>
    <w:p w:rsidR="00C511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519" inset="0,0,0,0">
              <w:txbxContent>
                <w:p w:rsidR="00C51166" w:rsidRDefault="00C51166">
                  <w:r>
                    <w:rPr>
                      <w:rtl/>
                    </w:rPr>
                    <w:t>178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0" o:spid="_x0000_s1026" type="#_x0000_t202" style="position:absolute;left:0;text-align:left;margin-left:88.4pt;margin-top:640.15pt;width:397pt;height:97pt;z-index:7;mso-wrap-style:none;mso-position-horizontal-relative:page;mso-position-vertical-relative:page" stroked="f">
            <v:textbox style="mso-next-textbox:#_x0000_s32520" inset="0,0,0,0">
              <w:txbxContent>
                <w:p w:rsidR="00C51166" w:rsidRDefault="00C5116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התשמ''ד (2 ביולי 1984); הצעת החוק ודברי הסבר פורסמו בה''ח 1091,</w:t>
                  </w:r>
                </w:p>
                <w:p w:rsidR="00C51166" w:rsidRDefault="00C51166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התשמ''ד, עמ' 287.</w:t>
                  </w:r>
                </w:p>
                <w:p w:rsidR="00C51166" w:rsidRDefault="00C5116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</w:t>
                  </w:r>
                  <w:r>
                    <w:rPr>
                      <w:rtl/>
                    </w:rPr>
                    <w:tab/>
                    <w:t>ח התשס''ז, עמ' 52; התשמ''ד, עמי 76.</w:t>
                  </w:r>
                </w:p>
                <w:p w:rsidR="00C51166" w:rsidRDefault="00C5116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י''פ התשמ''ד, חוב' 2971, חוב' 3007 וחוב' .3024</w:t>
                  </w:r>
                </w:p>
                <w:p w:rsidR="00C51166" w:rsidRDefault="00C5116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ק''ת התשל''ח, עמ' 1006; התשט''ד, עמ' .768</w:t>
                  </w:r>
                </w:p>
                <w:p w:rsidR="00C51166" w:rsidRPr="00C51166" w:rsidRDefault="00C5116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4 דיני מדינת ישראל, נוסח חדש 6, עמ' 120; ס"ח התשמ''ד,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1" o:spid="_x0000_s1027" type="#_x0000_t202" style="position:absolute;left:0;text-align:left;margin-left:103.25pt;margin-top:571.85pt;width:116.8pt;height:40.6pt;z-index:6;mso-wrap-style:none;mso-position-horizontal-relative:page;mso-position-vertical-relative:page" stroked="f">
            <v:textbox style="mso-next-textbox:#_x0000_s32521" inset="0,0,0,0">
              <w:txbxContent>
                <w:p w:rsidR="00C51166" w:rsidRDefault="00C5116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C51166" w:rsidRDefault="00C51166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2" o:spid="_x0000_s1028" type="#_x0000_t202" style="position:absolute;left:0;text-align:left;margin-left:238.9pt;margin-top:574.85pt;width:98pt;height:38.6pt;z-index:5;mso-wrap-style:none;mso-position-horizontal-relative:page;mso-position-vertical-relative:page" stroked="f">
            <v:textbox style="mso-next-textbox:#_x0000_s32522" inset="0,0,0,0">
              <w:txbxContent>
                <w:p w:rsidR="00C51166" w:rsidRDefault="00C5116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51166" w:rsidRDefault="00C5116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3" o:spid="_x0000_s1029" type="#_x0000_t202" style="position:absolute;left:0;text-align:left;margin-left:365.6pt;margin-top:597.6pt;width:100pt;height:37.6pt;z-index:4;mso-wrap-style:none;mso-position-horizontal-relative:page;mso-position-vertical-relative:page" stroked="f">
            <v:textbox style="mso-next-textbox:#_x0000_s32523" inset="0,0,0,0">
              <w:txbxContent>
                <w:p w:rsidR="00C51166" w:rsidRDefault="00C5116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C51166" w:rsidRPr="00C51166" w:rsidRDefault="00C5116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4" o:spid="_x0000_s1030" type="#_x0000_t202" style="position:absolute;left:0;text-align:left;margin-left:99.3pt;margin-top:358pt;width:358.4pt;height:210.85pt;z-index:3;mso-wrap-style:none;mso-position-horizontal-relative:page;mso-position-vertical-relative:page" stroked="f">
            <v:textbox style="mso-next-textbox:#_x0000_s32524" inset="0,0,0,0">
              <w:txbxContent>
                <w:p w:rsidR="00C51166" w:rsidRDefault="00C51166">
                  <w:pPr>
                    <w:pStyle w:val="OCRStyle1"/>
                    <w:ind w:left="275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C51166" w:rsidRDefault="00C51166">
                  <w:pPr>
                    <w:pStyle w:val="OCRStyle1"/>
                    <w:ind w:left="271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C51166" w:rsidRDefault="00C5116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1, פקדון שחל עליו צו לפי סעיף 5(א)(2) לחוק עידוד החסכון, הנחות ממס</w:t>
                  </w:r>
                </w:p>
                <w:p w:rsidR="00C51166" w:rsidRDefault="00C51166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הכנסה וערבות למילוות, התשט"ז-1956  1(להלן - חוק עידוד החסכון);</w:t>
                  </w:r>
                </w:p>
                <w:p w:rsidR="00C51166" w:rsidRDefault="00C5116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2. איגרות חוב סחירות שאינן ניתנות להמרה במניות, שחל עליהן צו לפי סעיף</w:t>
                  </w:r>
                </w:p>
                <w:p w:rsidR="00C51166" w:rsidRDefault="00C51166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5(א)(3) לחוק עידוד החסכון;</w:t>
                  </w:r>
                </w:p>
                <w:p w:rsidR="00C51166" w:rsidRDefault="00C51166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3. איגרות חוב או תעודות מילווה של המדינה, שהוצאו על פי חוק ;</w:t>
                  </w:r>
                </w:p>
                <w:p w:rsidR="00C51166" w:rsidRDefault="00C51166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4. ניירות ערך שחלה עליהם הודעה בדבר הסדרים לרכישת ניירות ערך בנק-</w:t>
                  </w:r>
                </w:p>
                <w:p w:rsidR="00C51166" w:rsidRDefault="00C51166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איים 2;</w:t>
                  </w:r>
                </w:p>
                <w:p w:rsidR="00C51166" w:rsidRDefault="00C5116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5. פקדון תושב או פקדון תושב (פיצויים) כמשמעותם בהיתר הפיקוח על המטבע,</w:t>
                  </w:r>
                </w:p>
                <w:p w:rsidR="00C51166" w:rsidRDefault="00C51166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התשל"ח-1978 8;</w:t>
                  </w:r>
                </w:p>
                <w:p w:rsidR="00C51166" w:rsidRDefault="00C5116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6. זכויות עמית בקופת גמל כמשמעותה בסעיף 47 לפקודת מס הכנסה*;</w:t>
                  </w:r>
                </w:p>
                <w:p w:rsidR="00C51166" w:rsidRPr="00C51166" w:rsidRDefault="00C5116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7. פוליסת ביטוח חיים שהוצאה בישראל.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5" o:spid="_x0000_s1031" type="#_x0000_t202" style="position:absolute;left:0;text-align:left;margin-left:85.45pt;margin-top:97.65pt;width:473.2pt;height:260.15pt;z-index:2;mso-wrap-style:none;mso-position-horizontal-relative:page;mso-position-vertical-relative:page" stroked="f">
            <v:textbox style="mso-next-textbox:#_x0000_s32525" inset="0,0,0,0">
              <w:txbxContent>
                <w:tbl>
                  <w:tblPr>
                    <w:tblW w:w="50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1"/>
                    <w:gridCol w:w="1302"/>
                  </w:tblGrid>
                  <w:tr w:rsidR="00C51166" w:rsidRPr="00C5116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זה, "השקעות ציבור" - הנכסים הפיננסיים המנויים בתוספת.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ועירה</w:t>
                        </w:r>
                      </w:p>
                    </w:tc>
                  </w:tr>
                  <w:tr w:rsidR="00C51166" w:rsidRPr="00C5116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לא תפקיע השקעות ציבור שנוצרו לפני תחילתו של חוק זה ולא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תשנה לרעה את התנאים שנקבעו להן לפני תחילתו.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לא תפקיע השקעות ציבור שייווצרו לאחר תחילתו של חוק זה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תשנה לרעה את התנאים שיהיו קבועים להן בעת שייווצרו, בין שיהיו זהים לתנאים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להשקעות ציבור מאותו סוג ערב תחילתו של חוק זה ובין שיהיו שוגים.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"תנאים" -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הפרעון או הפדיון;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הפרעון או הפדיון ;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ומועד תשלומה ;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בסיס ההצמדה ושיעורה;</w:t>
                        </w:r>
                      </w:p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שיעור המס החל;</w:t>
                        </w:r>
                      </w:p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</w:t>
                        </w:r>
                      </w:p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גיבור</w:t>
                        </w:r>
                      </w:p>
                    </w:tc>
                  </w:tr>
                  <w:tr w:rsidR="00C51166" w:rsidRPr="00C5116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לשנות חוק זה ואין לגרוע מהתוספת אלא ברוב של חברי הכנסת.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נוקשות החוק</w:t>
                        </w:r>
                      </w:p>
                    </w:tc>
                  </w:tr>
                  <w:tr w:rsidR="00C51166" w:rsidRPr="00C5116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האוצר, באישור ועדת הכספים של הכנסת, רשאי להוסיף על התוספת.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חוסות על</w:t>
                        </w:r>
                      </w:p>
                      <w:p w:rsidR="00C51166" w:rsidRPr="00C51166" w:rsidRDefault="00C511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</w:t>
                        </w:r>
                      </w:p>
                    </w:tc>
                  </w:tr>
                </w:tbl>
                <w:p w:rsidR="00C51166" w:rsidRDefault="00C511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26" o:spid="_x0000_s1032" type="#_x0000_t202" style="position:absolute;left:0;text-align:left;margin-left:103.25pt;margin-top:67.95pt;width:370.25pt;height:26.75pt;z-index:1;mso-wrap-style:none;mso-position-horizontal-relative:page;mso-position-vertical-relative:page" stroked="f">
            <v:textbox style="mso-next-textbox:#_x0000_s32526" inset="0,0,0,0">
              <w:txbxContent>
                <w:p w:rsidR="00C51166" w:rsidRPr="00C51166" w:rsidRDefault="00C51166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להגנה על השקעות הצבור בישראל בנכסים פיננסיים, התשמ"ד-1984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11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A03E9E-451F-4176-8F18-0A3F81F1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11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2008-04-07T01:48:00Z</dcterms:created>
  <dcterms:modified xsi:type="dcterms:W3CDTF">2008-04-07T01:49:00Z</dcterms:modified>
</cp:coreProperties>
</file>