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518E" w:rsidRDefault="0082518E">
      <w:pPr>
        <w:rPr>
          <w:rtl/>
        </w:rPr>
      </w:pPr>
    </w:p>
    <w:p w:rsidR="008251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542" inset="0,0,0,0">
              <w:txbxContent>
                <w:p w:rsidR="00025AB6" w:rsidRDefault="00025AB6">
                  <w:r>
                    <w:rPr>
                      <w:rtl/>
                    </w:rPr>
                    <w:t>166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3" o:spid="_x0000_s1026" type="#_x0000_t202" style="position:absolute;left:0;text-align:left;margin-left:87.15pt;margin-top:670.3pt;width:400.15pt;height:62.75pt;z-index:3;mso-wrap-style:none;mso-position-horizontal-relative:page;mso-position-vertical-relative:page" stroked="f">
            <v:textbox style="mso-next-textbox:#_x0000_s32543" inset="0,0,0,0">
              <w:txbxContent>
                <w:p w:rsidR="00025AB6" w:rsidRDefault="00025AB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בה"ח 1682, התשמ"ד,</w:t>
                  </w:r>
                </w:p>
                <w:p w:rsidR="00025AB6" w:rsidRDefault="00025AB6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255.</w:t>
                  </w:r>
                </w:p>
                <w:p w:rsidR="00025AB6" w:rsidRPr="0082518E" w:rsidRDefault="00025AB6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1 ס"ח התשמ"ד,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4" o:spid="_x0000_s1027" type="#_x0000_t202" style="position:absolute;left:0;text-align:left;margin-left:83pt;margin-top:111.75pt;width:475.2pt;height:557.75pt;z-index:2;mso-wrap-style:none;mso-position-horizontal-relative:page;mso-position-vertical-relative:page" stroked="f">
            <v:textbox style="mso-next-textbox:#_x0000_s32544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9"/>
                    <w:gridCol w:w="1153"/>
                    <w:gridCol w:w="1389"/>
                  </w:tblGrid>
                  <w:tr w:rsidR="00025AB6" w:rsidRPr="0082518E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025AB6" w:rsidRDefault="00025AB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33 לחוק הבחירות לכנסת האחת עשרה (הוראות שעה), התשמ"ד-</w:t>
                        </w:r>
                      </w:p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 1 (להלן - החוק העיקרי),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025AB6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בסעיף 65 לחוק הבחירות, במקום "לא יאוחר מהיום ה-9 שלפני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הבחירות" יבוא י'לא יאוחר מיום ח' בתמוז התשמ"ד (8 ביולי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סעיף 65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25AB6" w:rsidRPr="0082518E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34 לחוק העיקרי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34א</w:t>
                        </w:r>
                      </w:p>
                    </w:tc>
                  </w:tr>
                  <w:tr w:rsidR="00025AB6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בסעיף 67 לחוק הבחירות -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"לא יאוחר מהיום ה-11 שלפני יום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יבוא "לא יאוחר מיום הי בתמוז התשמ"ד (5 ביולי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1984)";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"לא יאוחר מהיום ה-8 שלפני יום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 יבוא "לא יאוחר מיום טי בתמוז התשמ"ד (9 ביולי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סעיף 67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25AB6" w:rsidRPr="0082518E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42 לחוק העיקרי --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במקום סעיף קטן (ה) יבוא: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שוטר שהוצאה לו תעודת-הצבעה-לשוטר רשאי להצביע בכל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קלפי, ובלבד -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שהזדהה בתעודת זהות או בפנקס זיהוי וכן בתעודת שוטר;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שהופיע במדי שוטר, זולת אם מסר ליושב ראש ועדת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אישור ממשטרת ישראל כי הוא רשאי להצביע ללא מדי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שוטר;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ומשהצביע כאמור ימסור ליושב ראש ועדת הקלפי את תעודת-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ההצבעה-לשוטר; יושב ראש ועדת הקלפי יחתום על התעודה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האישור האמור בפסקה (2), אם היה כזה, ויצרף אותם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לפרוטוקול ועדת הקלפי, והועדה תטביע את החותמת המעידה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שהצביע לכנסת כאמור בסעיף 74 (ג)";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אחרי סעיף קטן (ה) יבוא :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שוטר שהוצאה לו תעודת-הצבעה-לשוטר ולאחר מכן חדל להיות</w:t>
                        </w:r>
                      </w:p>
                      <w:p w:rsidR="00025AB6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רשאי להצביע בכל קלפי, ובלבד שהזדהה בתעודת זהות או</w:t>
                        </w:r>
                      </w:p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זיהוי והציג לפני יושב ראש ועדת הקלפי אישור ממשטרת</w:t>
                        </w:r>
                      </w:p>
                    </w:tc>
                    <w:tc>
                      <w:tcPr>
                        <w:tcW w:w="804" w:type="pct"/>
                      </w:tcPr>
                      <w:p w:rsidR="00025AB6" w:rsidRPr="0082518E" w:rsidRDefault="00025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</w:tr>
                </w:tbl>
                <w:p w:rsidR="00025AB6" w:rsidRDefault="00025A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45" o:spid="_x0000_s1028" type="#_x0000_t202" style="position:absolute;left:0;text-align:left;margin-left:140pt;margin-top:76.3pt;width:318.4pt;height:35.25pt;z-index:1;mso-wrap-style:none;mso-position-horizontal-relative:page;mso-position-vertical-relative:page" stroked="f">
            <v:textbox style="mso-next-textbox:#_x0000_s32545" inset="0,0,0,0">
              <w:txbxContent>
                <w:p w:rsidR="00025AB6" w:rsidRDefault="00025AB6">
                  <w:pPr>
                    <w:pStyle w:val="OCRStyle1"/>
                    <w:ind w:left="50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לכנסת האחת עשרה (הוראות שעה) (תיקון),</w:t>
                  </w:r>
                </w:p>
                <w:p w:rsidR="00025AB6" w:rsidRPr="0082518E" w:rsidRDefault="00025AB6">
                  <w:pPr>
                    <w:pStyle w:val="OCRStyle1"/>
                    <w:ind w:left="22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*</w:t>
                  </w:r>
                </w:p>
              </w:txbxContent>
            </v:textbox>
            <w10:wrap anchorx="page" anchory="page"/>
          </v:shape>
        </w:pict>
      </w:r>
    </w:p>
    <w:p w:rsidR="00025AB6" w:rsidRDefault="00025AB6">
      <w:pPr>
        <w:rPr>
          <w:rtl/>
        </w:rPr>
      </w:pPr>
      <w:r>
        <w:rPr>
          <w:rtl/>
        </w:rPr>
        <w:br w:type="page"/>
      </w:r>
    </w:p>
    <w:p w:rsidR="00025AB6" w:rsidRDefault="00000000">
      <w:pPr>
        <w:rPr>
          <w:rtl/>
        </w:rPr>
      </w:pPr>
      <w:r>
        <w:pict>
          <v:shape id="_x0000_s325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546" inset="0,0,0,0">
              <w:txbxContent>
                <w:p w:rsidR="00025AB6" w:rsidRDefault="00025AB6">
                  <w:r>
                    <w:rPr>
                      <w:rtl/>
                    </w:rPr>
                    <w:t>167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7" o:spid="_x0000_s1030" type="#_x0000_t202" style="position:absolute;left:0;text-align:left;margin-left:172.15pt;margin-top:147.95pt;width:97.4pt;height:28.1pt;z-index:8;mso-wrap-style:none;mso-position-horizontal-relative:page;mso-position-vertical-relative:page" stroked="f">
            <v:textbox style="mso-next-textbox:#_x0000_s32547" inset="0,0,0,0">
              <w:txbxContent>
                <w:p w:rsidR="00025AB6" w:rsidRDefault="00025AB6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25AB6" w:rsidRDefault="00025AB6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8" o:spid="_x0000_s1031" type="#_x0000_t202" style="position:absolute;left:0;text-align:left;margin-left:295.9pt;margin-top:145.6pt;width:108.1pt;height:33.85pt;z-index:7;mso-wrap-style:none;mso-position-horizontal-relative:page;mso-position-vertical-relative:page" stroked="f">
            <v:textbox style="mso-next-textbox:#_x0000_s32548" inset="0,0,0,0">
              <w:txbxContent>
                <w:p w:rsidR="00025AB6" w:rsidRDefault="00025AB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25AB6" w:rsidRDefault="00025AB6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49" o:spid="_x0000_s1032" type="#_x0000_t202" style="position:absolute;left:0;text-align:left;margin-left:427.2pt;margin-top:175.3pt;width:92.25pt;height:31.3pt;z-index:6;mso-wrap-style:none;mso-position-horizontal-relative:page;mso-position-vertical-relative:page" stroked="f">
            <v:textbox style="mso-next-textbox:#_x0000_s32549" inset="0,0,0,0">
              <w:txbxContent>
                <w:p w:rsidR="00025AB6" w:rsidRDefault="00025AB6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25AB6" w:rsidRDefault="00025AB6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50" o:spid="_x0000_s1033" type="#_x0000_t202" style="position:absolute;left:0;text-align:left;margin-left:145.05pt;margin-top:76.3pt;width:327.5pt;height:56.85pt;z-index:5;mso-wrap-style:none;mso-position-horizontal-relative:page;mso-position-vertical-relative:page" stroked="f">
            <v:textbox style="mso-next-textbox:#_x0000_s32550" inset="0,0,0,0">
              <w:txbxContent>
                <w:p w:rsidR="00025AB6" w:rsidRDefault="00025AB6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ישראל כי חדל להיות שוטר; יושב ראש ועדת הקלפי יחתום על</w:t>
                  </w:r>
                </w:p>
                <w:p w:rsidR="00025AB6" w:rsidRDefault="00025AB6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התעודה ויצרף אותה לפרוטוקול ועדת הקלפי, והועדה תטביע את</w:t>
                  </w:r>
                </w:p>
                <w:p w:rsidR="00025AB6" w:rsidRDefault="00025AB6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החותמת המעידה שהצביע לכנסת כאמור בסעיף 74(ג)"."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51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37FDD9-18F7-47BC-AC95-96A748B9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518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5A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2008-04-07T01:48:00Z</dcterms:created>
  <dcterms:modified xsi:type="dcterms:W3CDTF">2008-04-07T01:48:00Z</dcterms:modified>
</cp:coreProperties>
</file>