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552C0" w:rsidRDefault="003552C0">
      <w:pPr>
        <w:rPr>
          <w:rtl/>
        </w:rPr>
      </w:pPr>
    </w:p>
    <w:p w:rsidR="003552C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5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563" inset="0,0,0,0">
              <w:txbxContent>
                <w:p w:rsidR="003552C0" w:rsidRDefault="003552C0">
                  <w:r>
                    <w:rPr>
                      <w:rtl/>
                    </w:rPr>
                    <w:t>155                                         ספר החוקים 1119                  כ' בסיוון התשמ"ד 20.06.1984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4" o:spid="_x0000_s1026" type="#_x0000_t202" style="position:absolute;left:0;text-align:left;margin-left:140.65pt;margin-top:608.4pt;width:391.45pt;height:66.15pt;z-index:6;mso-wrap-style:none;mso-position-horizontal-relative:page;mso-position-vertical-relative:page" stroked="f">
            <v:textbox style="mso-next-textbox:#_x0000_s32564" inset="0,0,0,0">
              <w:txbxContent>
                <w:p w:rsidR="003552C0" w:rsidRDefault="003552C0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בסיון התשמ"ד (13 ביוני 1984); הצעת החוק ודברי הסבר פורסמו בה''ח 1681, התשמ''ד.</w:t>
                  </w:r>
                </w:p>
                <w:p w:rsidR="003552C0" w:rsidRDefault="003552C0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,עמ' 245.</w:t>
                  </w:r>
                </w:p>
                <w:p w:rsidR="003552C0" w:rsidRDefault="003552C0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19, עמ' 436; ס"ח התשל"ה, עמ' 16; התשל"ו, עמ' 203.</w:t>
                  </w:r>
                </w:p>
                <w:p w:rsidR="003552C0" w:rsidRDefault="003552C0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2 ס"ח התשכ"ה, עמ' .63</w:t>
                  </w:r>
                </w:p>
                <w:p w:rsidR="003552C0" w:rsidRPr="003552C0" w:rsidRDefault="003552C0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3 ס"ח התשכ"ב,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5" o:spid="_x0000_s1027" type="#_x0000_t202" style="position:absolute;left:0;text-align:left;margin-left:164.8pt;margin-top:528pt;width:87.1pt;height:28.9pt;z-index:5;mso-wrap-style:none;mso-position-horizontal-relative:page;mso-position-vertical-relative:page" stroked="f">
            <v:textbox style="mso-next-textbox:#_x0000_s32565" inset="0,0,0,0">
              <w:txbxContent>
                <w:p w:rsidR="003552C0" w:rsidRDefault="003552C0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3552C0" w:rsidRDefault="003552C0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6" o:spid="_x0000_s1028" type="#_x0000_t202" style="position:absolute;left:0;text-align:left;margin-left:287.55pt;margin-top:525.85pt;width:86.55pt;height:32.65pt;z-index:4;mso-wrap-style:none;mso-position-horizontal-relative:page;mso-position-vertical-relative:page" stroked="f">
            <v:textbox style="mso-next-textbox:#_x0000_s32566" inset="0,0,0,0">
              <w:txbxContent>
                <w:p w:rsidR="003552C0" w:rsidRDefault="003552C0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552C0" w:rsidRDefault="003552C0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7" o:spid="_x0000_s1029" type="#_x0000_t202" style="position:absolute;left:0;text-align:left;margin-left:412.5pt;margin-top:554.35pt;width:99pt;height:30.3pt;z-index:3;mso-wrap-style:none;mso-position-horizontal-relative:page;mso-position-vertical-relative:page" stroked="f">
            <v:textbox style="mso-next-textbox:#_x0000_s32567" inset="0,0,0,0">
              <w:txbxContent>
                <w:p w:rsidR="003552C0" w:rsidRDefault="003552C0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552C0" w:rsidRDefault="003552C0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68" o:spid="_x0000_s1030" type="#_x0000_t202" style="position:absolute;left:0;text-align:left;margin-left:82.05pt;margin-top:97.35pt;width:458.55pt;height:414.2pt;z-index:2;mso-wrap-style:none;mso-position-horizontal-relative:page;mso-position-vertical-relative:page" stroked="f">
            <v:textbox style="mso-next-textbox:#_x0000_s32568" inset="0,0,0,0">
              <w:txbxContent>
                <w:tbl>
                  <w:tblPr>
                    <w:tblW w:w="489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5856"/>
                    <w:gridCol w:w="1311"/>
                  </w:tblGrid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במקום סעיף 3 לפקודת הרשמים 1נוסח חדש], התשל"א-11971 (להלן -</w:t>
                        </w:r>
                      </w:p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הפקודה) יבוא:</w:t>
                        </w:r>
                      </w:p>
                    </w:tc>
                  </w:tr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בתובענה שנתבע איננו מתגונן בה, לרבות תובענה בסדר דין מקוצר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לא ניתנה רשות להתגונן, רשאי הרשם -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לדרוש ראיה בכתב;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ליתן פסק דין על פי צד אחר נגד אותו נתבע;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לבטל פסק דין שנתן לפי פסקה (2)."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''פסק דין</w:t>
                        </w:r>
                      </w:p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באין הגנה</w:t>
                        </w:r>
                      </w:p>
                    </w:tc>
                  </w:tr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לפקודה, המלים "ובלבד שהוסכם מי מבעלי הדין ישא באותן הוצאות" -</w:t>
                        </w:r>
                      </w:p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</w:tr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5 לפקודה יבוא:</w:t>
                        </w:r>
                      </w:p>
                    </w:tc>
                  </w:tr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הרשם רשאי, על פי בקשה או מיזמתו, להורות, בהתאם לתקנות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הדין, שתובענה או ערעור יימחקו מחמת חוסר מעש."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''מחיקת הליך</w:t>
                        </w:r>
                      </w:p>
                    </w:tc>
                  </w:tr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 לפקודה -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בסעיף יסומן (א) ובו במקום "הרשם" יבוא "רשם של בית משפט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המוסמך לפי חוק הירושה, התשכ"ה-21965";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הרשם רשאי לבקשתו של מנהל עזבון או של צד מעונין, לתת הוראות</w:t>
                        </w:r>
                      </w:p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בענינים הנוגעים לעזבון, ניהולו ונכסיו, ובלבד שאין בהם התנגדות."</w:t>
                        </w:r>
                      </w:p>
                    </w:tc>
                  </w:tr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סעיף 8 לפקודה יבוא:</w:t>
                        </w:r>
                      </w:p>
                    </w:tc>
                  </w:tr>
                  <w:tr w:rsidR="003552C0" w:rsidRPr="003552C0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12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רשם של בית משפט שיש לו סמכות כאמור בסעיף 78 לחוק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הכשרות המשפטית והאפוטרופסות, התשכ"ב-31962, רשאי לאשר פעו-</w:t>
                        </w:r>
                      </w:p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לות לפי סעיפים 20 ו-47 לחוק האמור ובלבד שאין להן התנגדות."</w:t>
                        </w:r>
                      </w:p>
                    </w:tc>
                    <w:tc>
                      <w:tcPr>
                        <w:tcW w:w="786" w:type="pct"/>
                      </w:tcPr>
                      <w:p w:rsid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''עניני</w:t>
                        </w:r>
                      </w:p>
                      <w:p w:rsidR="003552C0" w:rsidRPr="003552C0" w:rsidRDefault="003552C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אפוטרופסות</w:t>
                        </w:r>
                      </w:p>
                    </w:tc>
                  </w:tr>
                </w:tbl>
                <w:p w:rsidR="003552C0" w:rsidRDefault="003552C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569" o:spid="_x0000_s1031" type="#_x0000_t202" style="position:absolute;left:0;text-align:left;margin-left:182.6pt;margin-top:70.65pt;width:297.8pt;height:25.95pt;z-index:1;mso-wrap-style:none;mso-position-horizontal-relative:page;mso-position-vertical-relative:page" stroked="f">
            <v:textbox style="mso-next-textbox:#_x0000_s32569" inset="0,0,0,0">
              <w:txbxContent>
                <w:p w:rsidR="003552C0" w:rsidRPr="003552C0" w:rsidRDefault="003552C0">
                  <w:pPr>
                    <w:pStyle w:val="OCRStyle1"/>
                    <w:ind w:left="284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הרשמים (מס' 3), התשמ"ד-1984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552C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DDBCE1-CA89-417C-961A-DAAB8A78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552C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2008-04-07T01:46:00Z</dcterms:created>
  <dcterms:modified xsi:type="dcterms:W3CDTF">2008-04-07T01:47:00Z</dcterms:modified>
</cp:coreProperties>
</file>