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6E95" w:rsidRDefault="001C6E95">
      <w:pPr>
        <w:rPr>
          <w:rtl/>
        </w:rPr>
      </w:pPr>
    </w:p>
    <w:p w:rsidR="001C6E9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63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630" inset="0,0,0,0">
              <w:txbxContent>
                <w:p w:rsidR="00C15C84" w:rsidRDefault="00C15C84">
                  <w:r>
                    <w:rPr>
                      <w:rtl/>
                    </w:rPr>
                    <w:t>150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31" o:spid="_x0000_s1026" type="#_x0000_t202" style="position:absolute;left:0;text-align:left;margin-left:92.8pt;margin-top:620.85pt;width:385.3pt;height:114.65pt;z-index:3;mso-wrap-style:none;mso-position-horizontal-relative:page;mso-position-vertical-relative:page" stroked="f">
            <v:textbox style="mso-next-textbox:#_x0000_s32631" inset="0,0,0,0">
              <w:txbxContent>
                <w:p w:rsidR="00C15C84" w:rsidRDefault="00C15C84">
                  <w:pPr>
                    <w:pStyle w:val="OCRStyle1"/>
                    <w:ind w:left="-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התשמ"ד (13 ביוני 1984); הצעת החוק ודברי הסבר פורסמו בה''ח 1681, התשמ''ד,</w:t>
                  </w:r>
                </w:p>
                <w:p w:rsidR="00C15C84" w:rsidRDefault="00C15C8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עמ' 238.</w:t>
                  </w:r>
                </w:p>
                <w:p w:rsidR="00C15C84" w:rsidRDefault="00C15C84">
                  <w:pPr>
                    <w:pStyle w:val="OCRStyle1"/>
                    <w:ind w:left="7"/>
                    <w:rPr>
                      <w:rtl/>
                    </w:rPr>
                  </w:pPr>
                  <w:r>
                    <w:rPr>
                      <w:rtl/>
                    </w:rPr>
                    <w:t>1 ס"ח התשי"ז, עמ' 148; התשכ"ב, עמ' 24; התשכ"ד, עמ' 66; התשכ"ז, עמ' 132; התשל"יא, עמ' 120; התשל"ג,</w:t>
                  </w:r>
                </w:p>
                <w:p w:rsidR="00C15C84" w:rsidRDefault="00C15C8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עמ' 237; התשל"ה, ועמ' 106; התשל"ז, .עמ' 320; התשל"ח, עמ' 11, עמ' 93 ועמ' 94; התשל"ט, עמ' 138;</w:t>
                  </w:r>
                </w:p>
                <w:p w:rsidR="00C15C84" w:rsidRDefault="00C15C84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התש"ם, עמ' 125; התשמ"א, עמ' 84 ועמ' 273; התשמ"ב, עמ' 192; התשמ'יג, עמ' 130 ועמ' 149; התשמ''ד,</w:t>
                  </w:r>
                </w:p>
                <w:p w:rsidR="00C15C84" w:rsidRPr="001C6E95" w:rsidRDefault="00C15C84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עמי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32" o:spid="_x0000_s1027" type="#_x0000_t202" style="position:absolute;left:0;text-align:left;margin-left:88.65pt;margin-top:102.65pt;width:467.85pt;height:512.4pt;z-index:2;mso-wrap-style:none;mso-position-horizontal-relative:page;mso-position-vertical-relative:page" stroked="f">
            <v:textbox style="mso-next-textbox:#_x0000_s32632" inset="0,0,0,0">
              <w:txbxContent>
                <w:tbl>
                  <w:tblPr>
                    <w:tblW w:w="49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6"/>
                    <w:gridCol w:w="1104"/>
                    <w:gridCol w:w="1278"/>
                  </w:tblGrid>
                  <w:tr w:rsidR="00C15C84" w:rsidRPr="001C6E95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C15C84" w:rsidRDefault="00C15C8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בתי המשפט, התשי"ז-1957  1 (להלן - החוק העיקרי) סעיף קטן</w:t>
                        </w:r>
                      </w:p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- בטל.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C15C84" w:rsidRPr="001C6E95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5 לחוק העיקרי יבוא: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C15C84">
                    <w:trPr>
                      <w:jc w:val="right"/>
                    </w:trPr>
                    <w:tc>
                      <w:tcPr>
                        <w:tcW w:w="3600" w:type="pct"/>
                      </w:tcPr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נתפנה מקומו של נשיא בית המשפט העליון וכל עוד הנשיא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לא התחיל לכהן, או נעדר הנשיא מן הארץ או שנבצר ממנו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זמנית למלא תפקידו, ימלא המשנה לנשיא את התפקידים המוטלים על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 וישתמש בסמכויות הנתונות לו לפי כל חיקוק.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נבצר מנשיא בית המשפט העליון והמשנה לנשיא למלא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תפקידיהם, יכהן כממלא מקום הנשיא הותיק שכשופטי בית המשפט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העליון, ומבין בעלי ותק שווה - הקשיש שבהם.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נשיא בית המשפט העליון רשאי לאצול מסמכויותיו למשנה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לנשיא."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"ממלא מקום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נשיא בית</w:t>
                        </w:r>
                      </w:p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15C84" w:rsidRPr="001C6E95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16 לחוק העיקרי יבוא: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</w:t>
                        </w:r>
                      </w:p>
                    </w:tc>
                  </w:tr>
                  <w:tr w:rsidR="00C15C84">
                    <w:trPr>
                      <w:jc w:val="right"/>
                    </w:trPr>
                    <w:tc>
                      <w:tcPr>
                        <w:tcW w:w="3600" w:type="pct"/>
                      </w:tcPr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השופט או השופטים אשר ידונו בענין פלוני ייקבעו בידי נשיא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או סגנו, ובאין קביעה כאמור - לפי סדר שיקבע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 נשיא בית המשפט.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המועד אשר בו יתחיל בית המשפט המחוזי לדון בענין פלוני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בידי השופט או השופטים אשר ידונו בו, בהתאם לכללים שקבע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המשפט, ואם טרם נקבע המותב שידון בו - בידי נשיא בית</w:t>
                        </w:r>
                      </w:p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סגנו."</w:t>
                        </w:r>
                      </w:p>
                    </w:tc>
                    <w:tc>
                      <w:tcPr>
                        <w:tcW w:w="649" w:type="pct"/>
                      </w:tcPr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כותבים</w:t>
                        </w:r>
                      </w:p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ומועדים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15C84" w:rsidRPr="001C6E95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20 לחוק העיקרי, בסופו יבוא "סמכות אחרת שנתייחדה לנשיא בית משפט</w:t>
                        </w:r>
                      </w:p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רשאי הוא לאצול, כולה או מקצתה, לסגן נשיאי'.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20</w:t>
                        </w:r>
                      </w:p>
                    </w:tc>
                  </w:tr>
                  <w:tr w:rsidR="00C15C84" w:rsidRPr="001C6E95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23 לחוק העיקרי -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(ב) יבוא: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י'(ב) בכל אזור שיפוט יהיה נשיא אחד של בית משפט שלום, ויכול שיה-ו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סגן נשיא אחד או יותר; ואולם יכול נשיא אחד לכהן כנשיא באזורי</w:t>
                        </w:r>
                      </w:p>
                      <w:p w:rsidR="00C15C84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אחדים.";</w:t>
                        </w:r>
                      </w:p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(ג) - בטל.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C15C84" w:rsidRPr="001C6E95" w:rsidRDefault="00C15C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23</w:t>
                        </w:r>
                      </w:p>
                    </w:tc>
                  </w:tr>
                </w:tbl>
                <w:p w:rsidR="00C15C84" w:rsidRDefault="00C15C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633" o:spid="_x0000_s1028" type="#_x0000_t202" style="position:absolute;left:0;text-align:left;margin-left:156.35pt;margin-top:69.8pt;width:271.45pt;height:27.9pt;z-index:1;mso-wrap-style:none;mso-position-horizontal-relative:page;mso-position-vertical-relative:page" stroked="f">
            <v:textbox style="mso-next-textbox:#_x0000_s32633" inset="0,0,0,0">
              <w:txbxContent>
                <w:p w:rsidR="00C15C84" w:rsidRPr="001C6E95" w:rsidRDefault="00C15C84">
                  <w:pPr>
                    <w:pStyle w:val="OCRStyle1"/>
                    <w:ind w:left="23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בתי המשפט (תיקון מס' 19), התשמ"ד-1984 *</w:t>
                  </w:r>
                </w:p>
              </w:txbxContent>
            </v:textbox>
            <w10:wrap anchorx="page" anchory="page"/>
          </v:shape>
        </w:pict>
      </w:r>
    </w:p>
    <w:p w:rsidR="00843D87" w:rsidRDefault="00843D87">
      <w:pPr>
        <w:rPr>
          <w:rtl/>
        </w:rPr>
      </w:pPr>
      <w:r>
        <w:rPr>
          <w:rtl/>
        </w:rPr>
        <w:br w:type="page"/>
      </w:r>
    </w:p>
    <w:p w:rsidR="00843D87" w:rsidRDefault="00000000">
      <w:pPr>
        <w:rPr>
          <w:rtl/>
        </w:rPr>
      </w:pPr>
      <w:r>
        <w:pict>
          <v:shape id="_x0000_s3263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634" inset="0,0,0,0">
              <w:txbxContent>
                <w:p w:rsidR="00C15C84" w:rsidRDefault="00C15C84">
                  <w:r>
                    <w:rPr>
                      <w:rtl/>
                    </w:rPr>
                    <w:t>151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35" o:spid="_x0000_s1030" type="#_x0000_t202" style="position:absolute;left:0;text-align:left;margin-left:358.7pt;margin-top:711.5pt;width:192.05pt;height:24.75pt;z-index:6;mso-wrap-style:none;mso-position-horizontal-relative:page;mso-position-vertical-relative:page" stroked="f">
            <v:textbox style="mso-next-textbox:#_x0000_s32635" inset="0,0,0,0">
              <w:txbxContent>
                <w:p w:rsidR="00C15C84" w:rsidRDefault="00C15C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636" o:spid="_x0000_s1031" type="#_x0000_t202" style="position:absolute;left:0;text-align:left;margin-left:78.95pt;margin-top:68.8pt;width:464.5pt;height:636.95pt;z-index:5;mso-wrap-style:none;mso-position-horizontal-relative:page;mso-position-vertical-relative:page" stroked="f">
            <v:textbox style="mso-next-textbox:#_x0000_s32636" inset="0,0,0,0">
              <w:txbxContent>
                <w:tbl>
                  <w:tblPr>
                    <w:tblW w:w="495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6"/>
                    <w:gridCol w:w="5724"/>
                    <w:gridCol w:w="1285"/>
                  </w:tblGrid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26 לחוק העיקרי יבוא:</w:t>
                        </w:r>
                      </w:p>
                    </w:tc>
                  </w:tr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(א) השופט אשר ידון בענין סלוני ייקבע בידי בשיא בית משפט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השלום או סגנו, ובאין קביעה כאמור - לסי סדר שקבע מזמן לזמן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משפט השלום.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המועד אשר בו יתחיל בית משפט שלום לדון בענין סלוני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בידי השופט או השופטים אשר ידונו בו, בהתאם לכללים שקבע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המשפט, ואם טרם נקבע המותב שידון בו - בידי נשיא בית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סגנו."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''קביעת מועדים</w:t>
                        </w:r>
                      </w:p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ומותנים</w:t>
                        </w:r>
                      </w:p>
                    </w:tc>
                  </w:tr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26א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26א(א) לחוק העיקרי, במקום "במקום אחר באותו אזור שיפוט" יבוא ''אחר</w:t>
                        </w:r>
                      </w:p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הנמצא באזור שיפוט בו הוא מכהן כנשיא".</w:t>
                        </w:r>
                      </w:p>
                    </w:tc>
                  </w:tr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27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27 לחוק העיקרי יבוא:</w:t>
                        </w:r>
                      </w:p>
                    </w:tc>
                  </w:tr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בית משפט שלום הדן בשלושה ונשיא בית משפט השלום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 - הנשיא הוא אב בית הדין; אם סגן נשיא ביניהם ואין נשיא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 השלום ביניהם - סגן הנשיא הוא אב בית הדין, ואם שני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סגני נשיאים ביניהם - הותיק שבהם; בהרכב אחר - הותיק שבשופטים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אב בית הדין, ובין בעלי ותק שווה - הקשיש שבהם.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רואים את הוותק לסי תאריך מינויו של השופט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משפט השלום."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"אב בית הדין</w:t>
                        </w:r>
                      </w:p>
                    </w:tc>
                  </w:tr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28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28 לחוק העיקרי, במקום סעיף קטן (ב) יבוא: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''(ב) מותר להעמיד אדם לדין לפני בית משפט שלום בשל עבירה לפי סעיף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מהסעיפים המנויים בתוספת השלישית, שבפינותיה אינן גוררות כפל העונש, אם</w:t>
                        </w:r>
                      </w:p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החליט על כך פרקליט המחוז, ובלבד שלא יוטל מאסר של יותר מחמש שנים.''</w:t>
                        </w:r>
                      </w:p>
                    </w:tc>
                  </w:tr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29א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29א לחוק העיקרי, בסופו יבוא ''סמכות אחרת שנתייחדה לנשיא בית משפט</w:t>
                        </w:r>
                      </w:p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שלום רשאי הוא לאצול כולה או מקצתה לסגן נשיא".</w:t>
                        </w:r>
                      </w:p>
                    </w:tc>
                  </w:tr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29ג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29ג לחוק העיקרי, בסופו יבוא: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כל חיקוק שבו ניתנה סמכות לבית משפט עירוני ייקרא כאילו הסמכות</w:t>
                        </w:r>
                      </w:p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לבית משפט לענינים מקומיים."</w:t>
                        </w:r>
                      </w:p>
                    </w:tc>
                  </w:tr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29ה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29ה לחוק העיקרי, בסופו יבוא :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סעיף זה אינן באות לגרוע מסמכותו של שופט בית משפט שלום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לדון בעבירות כאמור בסעיף 29ג ולכהן כשופט בית משפט לענינים מקומיים,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"שופט בקיצבה" - לרבות שופט תעבורה שנתמנה מינוי של</w:t>
                        </w:r>
                      </w:p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 ויצא לקיצבה.''</w:t>
                        </w:r>
                      </w:p>
                    </w:tc>
                  </w:tr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27א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37 לחוק העיקרי יבוא:</w:t>
                        </w:r>
                      </w:p>
                    </w:tc>
                  </w:tr>
                  <w:tr w:rsidR="00C15C84" w:rsidRPr="00843D87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9" w:type="pct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(א) מצא בית משפט כי נפלה טעות בפסק דין או בהחלטה</w:t>
                        </w:r>
                      </w:p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שנתן, רשאי הוא, תוך 21 ימים מיום נתינתם, לתקנם בהחלטה</w:t>
                        </w:r>
                      </w:p>
                    </w:tc>
                    <w:tc>
                      <w:tcPr>
                        <w:tcW w:w="761" w:type="pct"/>
                      </w:tcPr>
                      <w:p w:rsidR="00C15C84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''תיקון טעות</w:t>
                        </w:r>
                      </w:p>
                      <w:p w:rsidR="00C15C84" w:rsidRPr="00843D87" w:rsidRDefault="00C15C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 דין</w:t>
                        </w:r>
                      </w:p>
                    </w:tc>
                  </w:tr>
                </w:tbl>
                <w:p w:rsidR="00C15C84" w:rsidRDefault="00C15C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95F3F" w:rsidRDefault="00595F3F">
      <w:pPr>
        <w:rPr>
          <w:rtl/>
        </w:rPr>
      </w:pPr>
      <w:r>
        <w:rPr>
          <w:rtl/>
        </w:rPr>
        <w:br w:type="page"/>
      </w:r>
    </w:p>
    <w:p w:rsidR="00595F3F" w:rsidRDefault="00000000">
      <w:pPr>
        <w:rPr>
          <w:rtl/>
        </w:rPr>
      </w:pPr>
      <w:r>
        <w:pict>
          <v:shape id="_x0000_s32637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2637" inset="0,0,0,0">
              <w:txbxContent>
                <w:p w:rsidR="00C15C84" w:rsidRDefault="00C15C84">
                  <w:r>
                    <w:rPr>
                      <w:rtl/>
                    </w:rPr>
                    <w:t>152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38" o:spid="_x0000_s1033" type="#_x0000_t202" style="position:absolute;left:0;text-align:left;margin-left:96pt;margin-top:706.35pt;width:186.3pt;height:33.05pt;z-index:10;mso-wrap-style:none;mso-position-horizontal-relative:page;mso-position-vertical-relative:page" stroked="f">
            <v:textbox style="mso-next-textbox:#_x0000_s32638" inset="0,0,0,0">
              <w:txbxContent>
                <w:p w:rsidR="00C15C84" w:rsidRDefault="00C15C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2639" o:spid="_x0000_s1034" type="#_x0000_t202" style="position:absolute;left:0;text-align:left;margin-left:289.8pt;margin-top:648.55pt;width:198pt;height:40.6pt;z-index:9;mso-wrap-style:none;mso-position-horizontal-relative:page;mso-position-vertical-relative:page" stroked="f">
            <v:textbox style="mso-next-textbox:#_x0000_s32639" inset="0,0,0,0">
              <w:txbxContent>
                <w:p w:rsidR="00C15C84" w:rsidRDefault="00C15C84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2 ס"ח התשל"ז, עמ' 226; התשמ"ג, עמ' 58 ועמ' 30ג.</w:t>
                  </w:r>
                </w:p>
                <w:p w:rsidR="00C15C84" w:rsidRPr="00595F3F" w:rsidRDefault="00C15C84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3 חוקי א"י, כרך א', עמ' .338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40" o:spid="_x0000_s1035" type="#_x0000_t202" style="position:absolute;left:0;text-align:left;margin-left:90.25pt;margin-top:67.8pt;width:464.5pt;height:580.75pt;z-index:8;mso-wrap-style:none;mso-position-horizontal-relative:page;mso-position-vertical-relative:page" stroked="f">
            <v:textbox style="mso-next-textbox:#_x0000_s32640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99"/>
                    <w:gridCol w:w="878"/>
                    <w:gridCol w:w="1169"/>
                  </w:tblGrid>
                  <w:tr w:rsidR="00C15C84">
                    <w:trPr>
                      <w:jc w:val="right"/>
                    </w:trPr>
                    <w:tc>
                      <w:tcPr>
                        <w:tcW w:w="3788" w:type="pct"/>
                      </w:tcPr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מנומקת, ורשאי הוא לשמוע טענות בעלי הדין לענין זה; לענין זה,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"טעות" - טעות לשון, טעות בחישוב, פליטת קולמוס, השמטה מקרית,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דבר באקראי וכיוצא באלה,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בהסכמת בעלי הדין רשאי בית המשפט להחליט בכל עת על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תיקון בפסק דין או בהחלטה אחרת שנתן.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תוקנו פסק דין או החלטה אחרת כאמור בסעיף קטן (א),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יראו, לענין ערעור, את מועד מתן החלטת התיקון כמועד מתן פסק הדין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ההחלטה האחרת.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החלטה לפי סעיף קטן (א) אינה ניתנת לערעור אלא בערעור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פסק הדין או ההחלטה האחרת."</w:t>
                        </w:r>
                      </w:p>
                    </w:tc>
                    <w:tc>
                      <w:tcPr>
                        <w:tcW w:w="520" w:type="pct"/>
                      </w:tcPr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93" w:type="pct"/>
                      </w:tcPr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15C84" w:rsidRPr="00595F3F">
                    <w:trPr>
                      <w:jc w:val="right"/>
                    </w:trPr>
                    <w:tc>
                      <w:tcPr>
                        <w:tcW w:w="4307" w:type="pct"/>
                        <w:gridSpan w:val="2"/>
                      </w:tcPr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בסעיף 40 לחוק העיקרי, אחרי סעיף קטן (ד) יבוא: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"(ד1) בית המשפט רשאי לאסור פרסום שמו של חשוד שטרם הוגש נגדו כתב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אישום, או כל פרט אחר שיש בו כדי לזהותו, אם הדבר עלול לפגוע בחקירה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פי דין."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C15C84" w:rsidRPr="00595F3F">
                    <w:trPr>
                      <w:jc w:val="right"/>
                    </w:trPr>
                    <w:tc>
                      <w:tcPr>
                        <w:tcW w:w="4307" w:type="pct"/>
                        <w:gridSpan w:val="2"/>
                      </w:tcPr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במקום סעיף 41 לחוק העיקרי יבוא: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41</w:t>
                        </w:r>
                      </w:p>
                    </w:tc>
                  </w:tr>
                  <w:tr w:rsidR="00C15C84">
                    <w:trPr>
                      <w:jc w:val="right"/>
                    </w:trPr>
                    <w:tc>
                      <w:tcPr>
                        <w:tcW w:w="3788" w:type="pct"/>
                      </w:tcPr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לא יפרסם אדם דבר על ענין התלוי ועומד בבית משפט,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יש בפרסום כדי להשפיע על מהלך המשפט או תוצאותיו.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בענין פלילי יראו ענין כתלוי ועומד בבית משפט משעה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שהוגשה לבית המשפט באותו ענין בקשה למתן צו מעצר או משעה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לו כתב אישום, לפי המוקדם, ועד שהחליט התובע שלא להגיש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כתב אישום, ואם הוגש כתב אישום -- עד סיום ההליכים.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איסור הפרסום אינו הל על פרסום ידיעה בתום לב על דבר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שנאמר או שאירע בישיבה פומבית של בית המשפט.</w:t>
                        </w:r>
                      </w:p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הוראות סעיף זה, דינו - מאסר שנה אחת."</w:t>
                        </w:r>
                      </w:p>
                    </w:tc>
                    <w:tc>
                      <w:tcPr>
                        <w:tcW w:w="520" w:type="pct"/>
                      </w:tcPr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"פרסומים</w:t>
                        </w:r>
                      </w:p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15C84" w:rsidRPr="00595F3F">
                    <w:trPr>
                      <w:jc w:val="right"/>
                    </w:trPr>
                    <w:tc>
                      <w:tcPr>
                        <w:tcW w:w="4307" w:type="pct"/>
                        <w:gridSpan w:val="2"/>
                      </w:tcPr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42א(א) לחוק העיקרי, במקום "קנס שלא יעלה על אלף שקלים" יבוא*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"מחצית קנס כאמור בסעיף 40(2) לחוק העונשין, התשל"ז-21977 (להלן - חוק</w:t>
                        </w:r>
                      </w:p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העונשין)" ובמקום "קבס שלא יעלה על אלפיים שקלים" יבוא "קנס כאמור בסעיף 40(2&gt;</w:t>
                        </w:r>
                      </w:p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העונשין".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42א</w:t>
                        </w:r>
                      </w:p>
                    </w:tc>
                  </w:tr>
                  <w:tr w:rsidR="00C15C84" w:rsidRPr="00595F3F">
                    <w:trPr>
                      <w:jc w:val="right"/>
                    </w:trPr>
                    <w:tc>
                      <w:tcPr>
                        <w:tcW w:w="4307" w:type="pct"/>
                        <w:gridSpan w:val="2"/>
                      </w:tcPr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בסעיף 44 לחוק העיקרי, במקום "הסעיפים 33 עד 37" יבוא "סעיפים 34 עד 37".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44</w:t>
                        </w:r>
                      </w:p>
                    </w:tc>
                  </w:tr>
                  <w:tr w:rsidR="00C15C84" w:rsidRPr="00595F3F">
                    <w:trPr>
                      <w:jc w:val="right"/>
                    </w:trPr>
                    <w:tc>
                      <w:tcPr>
                        <w:tcW w:w="4307" w:type="pct"/>
                        <w:gridSpan w:val="2"/>
                      </w:tcPr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בתוספת השניה לחוק העיקרי, אחרי פרט 18 יבוא:</w:t>
                        </w:r>
                      </w:p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"19. פקודת המכרות8'/</w:t>
                        </w:r>
                      </w:p>
                    </w:tc>
                    <w:tc>
                      <w:tcPr>
                        <w:tcW w:w="693" w:type="pct"/>
                      </w:tcPr>
                      <w:p w:rsidR="00C15C84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  <w:p w:rsidR="00C15C84" w:rsidRPr="00595F3F" w:rsidRDefault="00C15C8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השניה</w:t>
                        </w:r>
                      </w:p>
                    </w:tc>
                  </w:tr>
                </w:tbl>
                <w:p w:rsidR="00C15C84" w:rsidRDefault="00C15C8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15C84" w:rsidRDefault="00C15C84">
      <w:pPr>
        <w:rPr>
          <w:rtl/>
        </w:rPr>
      </w:pPr>
      <w:r>
        <w:rPr>
          <w:rtl/>
        </w:rPr>
        <w:br w:type="page"/>
      </w:r>
    </w:p>
    <w:p w:rsidR="00C15C84" w:rsidRDefault="00000000">
      <w:pPr>
        <w:rPr>
          <w:rtl/>
        </w:rPr>
      </w:pPr>
      <w:r>
        <w:pict>
          <v:shape id="_x0000_s32641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2641" inset="0,0,0,0">
              <w:txbxContent>
                <w:p w:rsidR="00C15C84" w:rsidRDefault="00C15C84">
                  <w:r>
                    <w:rPr>
                      <w:rtl/>
                    </w:rPr>
                    <w:t>153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42" o:spid="_x0000_s1037" type="#_x0000_t202" style="position:absolute;left:0;text-align:left;margin-left:352.8pt;margin-top:457.55pt;width:181.35pt;height:45.75pt;z-index:16;mso-wrap-style:none;mso-position-horizontal-relative:page;mso-position-vertical-relative:page" stroked="f">
            <v:textbox style="mso-next-textbox:#_x0000_s32642" inset="0,0,0,0">
              <w:txbxContent>
                <w:p w:rsidR="00C15C84" w:rsidRDefault="00C15C84">
                  <w:pPr>
                    <w:pStyle w:val="OCRStyle4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4 דיני מדינת ישראל, נוסח חדש 23, עמ' 485.</w:t>
                  </w:r>
                </w:p>
                <w:p w:rsidR="00C15C84" w:rsidRDefault="00C15C84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5 דיני מדינת ישראל, נוסח חדש 7, עמ' .173</w:t>
                  </w:r>
                </w:p>
                <w:p w:rsidR="00C15C84" w:rsidRDefault="00C15C84">
                  <w:pPr>
                    <w:pStyle w:val="OCRStyle4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6 ס"ח התשל"א, עמ' 134; התשמ"ב, עמ' 159 ועמ' 176</w:t>
                  </w:r>
                </w:p>
                <w:p w:rsidR="00C15C84" w:rsidRPr="00C15C84" w:rsidRDefault="00C15C84">
                  <w:pPr>
                    <w:pStyle w:val="OCRStyle4"/>
                    <w:ind w:left="191"/>
                  </w:pPr>
                  <w:r>
                    <w:rPr>
                      <w:rtl/>
                    </w:rPr>
                    <w:t>7 ס"ח התשכ''ט, עמ' 28; התשל"ט, עמ' .84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43" o:spid="_x0000_s1038" type="#_x0000_t202" style="position:absolute;left:0;text-align:left;margin-left:161.35pt;margin-top:397.55pt;width:91.1pt;height:32.65pt;z-index:15;mso-wrap-style:none;mso-position-horizontal-relative:page;mso-position-vertical-relative:page" stroked="f">
            <v:textbox style="mso-next-textbox:#_x0000_s32643" inset="0,0,0,0">
              <w:txbxContent>
                <w:p w:rsidR="00C15C84" w:rsidRDefault="00C15C84">
                  <w:pPr>
                    <w:pStyle w:val="OCRStyle4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C15C84" w:rsidRDefault="00C15C84">
                  <w:pPr>
                    <w:pStyle w:val="OCRStyle4"/>
                    <w:ind w:left="28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44" o:spid="_x0000_s1039" type="#_x0000_t202" style="position:absolute;left:0;text-align:left;margin-left:285.9pt;margin-top:394.55pt;width:100.8pt;height:36.45pt;z-index:14;mso-wrap-style:none;mso-position-horizontal-relative:page;mso-position-vertical-relative:page" stroked="f">
            <v:textbox style="mso-next-textbox:#_x0000_s32644" inset="0,0,0,0">
              <w:txbxContent>
                <w:p w:rsidR="00C15C84" w:rsidRDefault="00C15C84">
                  <w:pPr>
                    <w:pStyle w:val="OCRStyle4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C15C84" w:rsidRDefault="00C15C84">
                  <w:pPr>
                    <w:pStyle w:val="OCRStyle4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45" o:spid="_x0000_s1040" type="#_x0000_t202" style="position:absolute;left:0;text-align:left;margin-left:409.25pt;margin-top:421.1pt;width:99pt;height:31.1pt;z-index:13;mso-wrap-style:none;mso-position-horizontal-relative:page;mso-position-vertical-relative:page" stroked="f">
            <v:textbox style="mso-next-textbox:#_x0000_s32645" inset="0,0,0,0">
              <w:txbxContent>
                <w:p w:rsidR="00C15C84" w:rsidRDefault="00C15C84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C15C84" w:rsidRDefault="00C15C84">
                  <w:pPr>
                    <w:pStyle w:val="OCRStyle4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646" o:spid="_x0000_s1041" type="#_x0000_t202" style="position:absolute;left:0;text-align:left;margin-left:85.9pt;margin-top:54.8pt;width:461.95pt;height:336.6pt;z-index:12;mso-wrap-style:none;mso-position-horizontal-relative:page;mso-position-vertical-relative:page" stroked="f">
            <v:textbox style="mso-next-textbox:#_x0000_s32646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0"/>
                    <w:gridCol w:w="7309"/>
                  </w:tblGrid>
                  <w:tr w:rsidR="00C15C84" w:rsidRPr="00C15C84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  <w:p w:rsidR="00C15C84" w:rsidRP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שלישית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C15C84" w:rsidRP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התוספת השניה לחוק העיקרי יבוא :</w:t>
                        </w:r>
                      </w:p>
                    </w:tc>
                  </w:tr>
                  <w:tr w:rsidR="00C15C84" w:rsidRPr="00C15C84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51" w:type="pct"/>
                      </w:tcPr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שלישית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28)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לפי סעיפים 140, 141, 176, 237, 238, 240, 242, 243, 245, 246, 253(ב),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257(1), 258, 259(2), 274, 281, 290, 291, 303, 313, 342, 347, 351, 354(א), 359, 360.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361, 382, 391 עד 395, 406, 407, 410, 411, 441, 447(ב), 453, 455, 457, 464, ,465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471 עד 478, ו-499(1) לחוק העונשין, התשל"ז-1977;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סעיף 29(א) לפקודת מסילות הברזל [נוסח חדש], התשל"ב-1972 4.</w:t>
                        </w:r>
                      </w:p>
                      <w:p w:rsidR="00C15C84" w:rsidRP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סעיף 36ב(ג) לפקודת התעבורה5."</w:t>
                        </w:r>
                      </w:p>
                    </w:tc>
                  </w:tr>
                  <w:tr w:rsidR="00C15C84" w:rsidRPr="00C15C84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 (שפיטה,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ענישה ודרכי</w:t>
                        </w:r>
                      </w:p>
                      <w:p w:rsidR="00C15C84" w:rsidRP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טיפול)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2 לחוק הנוער (שפיטה, ענישה ודרכי טיפול), התשל"א-1971 6-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"שופט נוער ראשי" יבוא "נשיא בתי המשפט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לנוער";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(ב) יבוא :</w:t>
                        </w:r>
                      </w:p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שופט בית משפט מהוזי שהתמנה לנשיא בתי המשפט לנוער יהיה</w:t>
                        </w:r>
                      </w:p>
                      <w:p w:rsidR="00C15C84" w:rsidRP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מוסמר לדון בענינים שבסמכותו של בית משפט שלום לנוער."</w:t>
                        </w:r>
                      </w:p>
                    </w:tc>
                  </w:tr>
                  <w:tr w:rsidR="00C15C84" w:rsidRPr="00C15C84">
                    <w:trPr>
                      <w:jc w:val="right"/>
                    </w:trPr>
                    <w:tc>
                      <w:tcPr>
                        <w:tcW w:w="649" w:type="pct"/>
                      </w:tcPr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15C84" w:rsidRP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חקירה</w:t>
                        </w:r>
                      </w:p>
                    </w:tc>
                    <w:tc>
                      <w:tcPr>
                        <w:tcW w:w="4351" w:type="pct"/>
                      </w:tcPr>
                      <w:p w:rsid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11 (א) לחוק ועדות חקירה, התשכ''ט-1968 ל, במקום "קנס שלא יעלה על</w:t>
                        </w:r>
                      </w:p>
                      <w:p w:rsidR="00C15C84" w:rsidRPr="00C15C84" w:rsidRDefault="00C15C8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 לירות" יבוא "קנס כאמור בסעיף 40(2) לחוק העונשין, התשל"ז-1977".</w:t>
                        </w:r>
                      </w:p>
                    </w:tc>
                  </w:tr>
                </w:tbl>
                <w:p w:rsidR="00C15C84" w:rsidRDefault="00C15C8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6E9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595938C-B14D-42DC-AA69-D68456A2D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6E9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43D8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95F3F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15C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2008-04-07T01:46:00Z</dcterms:created>
  <dcterms:modified xsi:type="dcterms:W3CDTF">2008-04-07T01:46:00Z</dcterms:modified>
</cp:coreProperties>
</file>