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7ED5" w:rsidRDefault="00CD7ED5">
      <w:pPr>
        <w:rPr>
          <w:rtl/>
        </w:rPr>
      </w:pPr>
    </w:p>
    <w:p w:rsidR="00CD7E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818" inset="0,0,0,0">
              <w:txbxContent>
                <w:p w:rsidR="00CD7ED5" w:rsidRDefault="00CD7ED5">
                  <w:r>
                    <w:rPr>
                      <w:rtl/>
                    </w:rPr>
                    <w:t>12                                          ספר החוקים 1127                 י"א בכסליו התשמ"ה 05.12.1984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9" o:spid="_x0000_s1026" type="#_x0000_t202" style="position:absolute;left:0;text-align:left;margin-left:102.05pt;margin-top:709.5pt;width:167.5pt;height:36.25pt;z-index:7;mso-wrap-style:none;mso-position-horizontal-relative:page;mso-position-vertical-relative:page" stroked="f">
            <v:textbox style="mso-next-textbox:#_x0000_s32819" inset="0,0,0,0">
              <w:txbxContent>
                <w:p w:rsidR="00CD7ED5" w:rsidRDefault="00CD7E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20" o:spid="_x0000_s1027" type="#_x0000_t202" style="position:absolute;left:0;text-align:left;margin-left:102.05pt;margin-top:394.3pt;width:387.1pt;height:244.15pt;z-index:6;mso-wrap-style:none;mso-position-horizontal-relative:page;mso-position-vertical-relative:page" stroked="f">
            <v:textbox style="mso-next-textbox:#_x0000_s32820" inset="0,0,0,0">
              <w:txbxContent>
                <w:p w:rsidR="00CD7ED5" w:rsidRDefault="00CD7ED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בכסיו התשמ''ה (26 בנובמבר 1984): הצעת החוק ודברי הסבר סורסמו בה''וו 1670,</w:t>
                  </w:r>
                </w:p>
                <w:p w:rsidR="00CD7ED5" w:rsidRDefault="00CD7ED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התשמ''ד, עמ' 184.</w:t>
                  </w:r>
                </w:p>
                <w:p w:rsidR="00CD7ED5" w:rsidRDefault="00CD7ED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ס''ח התשי"ט, עמ' 286; התשמ"ד, עמ' 84.</w:t>
                  </w:r>
                </w:p>
                <w:p w:rsidR="00CD7ED5" w:rsidRDefault="00CD7ED5">
                  <w:pPr>
                    <w:pStyle w:val="OCRStyle1"/>
                    <w:ind w:left="273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טעויות דפוס</w:t>
                  </w:r>
                </w:p>
                <w:p w:rsidR="00CD7ED5" w:rsidRDefault="00CD7ED5">
                  <w:pPr>
                    <w:pStyle w:val="OCRStyle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(לפי סעיף 16(ט) לפקודת סדרי השלטון והמשפט, התש"ח-1948)</w:t>
                  </w:r>
                </w:p>
                <w:p w:rsidR="00CD7ED5" w:rsidRDefault="00CD7ED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בחוק בתי המשפט [נוסח משולב], התשמ"ד-1984, שפורסם בס"ח התשמ"ד, עמ' 198 -</w:t>
                  </w:r>
                </w:p>
                <w:p w:rsidR="00CD7ED5" w:rsidRDefault="00CD7ED5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(1) בסעיף 27, בכותרת השוליים, במקום "ומועמדים" צ"ל "ומועדים";</w:t>
                  </w:r>
                </w:p>
                <w:p w:rsidR="00CD7ED5" w:rsidRDefault="00CD7ED5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(2) בסעיף 51(א)(4), במקום "אחר" צ"ל "אחד";</w:t>
                  </w:r>
                </w:p>
                <w:p w:rsidR="00CD7ED5" w:rsidRDefault="00CD7ED5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(3) בסעיף 56(א), במקום "בכל" צ"ל "ככל";</w:t>
                  </w:r>
                </w:p>
                <w:p w:rsidR="00CD7ED5" w:rsidRPr="00CD7ED5" w:rsidRDefault="00CD7ED5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(4) בסעיף 68(ד), במקום "נוכחית" צ"ל "נוכחים".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1" o:spid="_x0000_s1028" type="#_x0000_t202" style="position:absolute;left:0;text-align:left;margin-left:114.5pt;margin-top:330.75pt;width:75.85pt;height:31.3pt;z-index:5;mso-wrap-style:none;mso-position-horizontal-relative:page;mso-position-vertical-relative:page" stroked="f">
            <v:textbox style="mso-next-textbox:#_x0000_s32821" inset="0,0,0,0">
              <w:txbxContent>
                <w:p w:rsidR="00CD7ED5" w:rsidRDefault="00CD7ED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D7ED5" w:rsidRDefault="00CD7ED5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2" o:spid="_x0000_s1029" type="#_x0000_t202" style="position:absolute;left:0;text-align:left;margin-left:242.4pt;margin-top:327.4pt;width:96.45pt;height:34.65pt;z-index:4;mso-wrap-style:none;mso-position-horizontal-relative:page;mso-position-vertical-relative:page" stroked="f">
            <v:textbox style="mso-next-textbox:#_x0000_s32822" inset="0,0,0,0">
              <w:txbxContent>
                <w:p w:rsidR="00CD7ED5" w:rsidRDefault="00CD7ED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D7ED5" w:rsidRDefault="00CD7ED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3" o:spid="_x0000_s1030" type="#_x0000_t202" style="position:absolute;left:0;text-align:left;margin-left:366.15pt;margin-top:355.5pt;width:79.2pt;height:33.85pt;z-index:3;mso-wrap-style:none;mso-position-horizontal-relative:page;mso-position-vertical-relative:page" stroked="f">
            <v:textbox style="mso-next-textbox:#_x0000_s32823" inset="0,0,0,0">
              <w:txbxContent>
                <w:p w:rsidR="00CD7ED5" w:rsidRDefault="00CD7ED5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D7ED5" w:rsidRDefault="00CD7ED5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4" o:spid="_x0000_s1031" type="#_x0000_t202" style="position:absolute;left:0;text-align:left;margin-left:104.6pt;margin-top:113.75pt;width:456.2pt;height:208.7pt;z-index:2;mso-wrap-style:none;mso-position-horizontal-relative:page;mso-position-vertical-relative:page" stroked="f">
            <v:textbox style="mso-next-textbox:#_x0000_s32824" inset="0,0,0,0">
              <w:txbxContent>
                <w:tbl>
                  <w:tblPr>
                    <w:tblW w:w="48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231"/>
                  </w:tblGrid>
                  <w:tr w:rsidR="00CD7ED5" w:rsidRPr="00CD7ED5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D7ED5" w:rsidRDefault="00CD7ED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26 לחוק שירות בטחון, התשי"ט-1959 [נוסח משולב]1 (להלן - החוק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סעיף קטן (ב) יבוא: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צו של שר הבטחון להתייצב לשירות סדיר או לשירות מילואים שניתן על פי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וכן צו של פוקד או מפקד שניתן על פי סעיף קטן (א) לצרכי כוננות יובאו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הבטחון, בהקדם ככל האפשר אחרי הינתנם, לידיעת ועדת החוץ והבטחון של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צו כאמור בסעיף קטן (ב), בשינויים או בלי שינויים,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לאשרו, או להביאו בפני הכנסת; תקפו של הצו יפקע ארבעה עשר ימים מיום</w:t>
                        </w:r>
                      </w:p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הינתנו, מלבד אם אושר, וכפי שאושר, בידי הועדה או בידי הכנסת לפני תום המועד</w:t>
                        </w:r>
                      </w:p>
                      <w:p w:rsidR="00CD7ED5" w:rsidRP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D7ED5" w:rsidRP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CD7ED5" w:rsidRPr="00CD7ED5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לא יחולו על צו פוקד או מפקד כאמור בסעיף 26(א) לחוק העיקרי,</w:t>
                        </w:r>
                      </w:p>
                      <w:p w:rsidR="00CD7ED5" w:rsidRP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לפני תחילתו של חוק זה.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D7ED5" w:rsidRPr="00CD7ED5" w:rsidRDefault="00CD7E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CD7ED5" w:rsidRDefault="00CD7E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25" o:spid="_x0000_s1032" type="#_x0000_t202" style="position:absolute;left:0;text-align:left;margin-left:149.15pt;margin-top:75.9pt;width:280.55pt;height:32.85pt;z-index:1;mso-wrap-style:none;mso-position-horizontal-relative:page;mso-position-vertical-relative:page" stroked="f">
            <v:textbox style="mso-next-textbox:#_x0000_s32825" inset="0,0,0,0">
              <w:txbxContent>
                <w:p w:rsidR="00CD7ED5" w:rsidRPr="00CD7ED5" w:rsidRDefault="00CD7ED5">
                  <w:pPr>
                    <w:pStyle w:val="OCRStyle1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בטחון (תיקון מס' 17), התשמ"ה-1984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7E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D715F6-AB14-4FDE-97CD-AB61169E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7E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2008-04-07T01:55:00Z</dcterms:created>
  <dcterms:modified xsi:type="dcterms:W3CDTF">2008-04-07T01:55:00Z</dcterms:modified>
</cp:coreProperties>
</file>