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063A8" w:rsidRDefault="002063A8">
      <w:pPr>
        <w:rPr>
          <w:rtl/>
        </w:rPr>
      </w:pPr>
    </w:p>
    <w:p w:rsidR="002063A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86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2860" inset="0,0,0,0">
              <w:txbxContent>
                <w:p w:rsidR="0092471F" w:rsidRDefault="0092471F">
                  <w:r>
                    <w:rPr>
                      <w:rtl/>
                    </w:rPr>
                    <w:t>16                                          ספר החוקים 1129                   ט"ו בטבת התשמ"ה 08.01.1985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61" o:spid="_x0000_s1026" type="#_x0000_t202" style="position:absolute;left:0;text-align:left;margin-left:93.75pt;margin-top:672.05pt;width:398.4pt;height:76.65pt;z-index:3;mso-wrap-style:none;mso-position-horizontal-relative:page;mso-position-vertical-relative:page" stroked="f">
            <v:textbox style="mso-next-textbox:#_x0000_s32861" inset="0,0,0,0">
              <w:txbxContent>
                <w:p w:rsidR="0092471F" w:rsidRDefault="0092471F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בטבת התשמ"ה (1 בינואר 1985) ; הצעת החוק ודברי הסבר פורסמו בה''ח 1674,</w:t>
                  </w:r>
                </w:p>
                <w:p w:rsidR="0092471F" w:rsidRDefault="0092471F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התשמ"ד, עמ' 192.</w:t>
                  </w:r>
                </w:p>
                <w:p w:rsidR="0092471F" w:rsidRDefault="0092471F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1 ס"ח התשל"ה, עמי 234: התשל"ח, עמ' 49; התש"ם, עמ' 69 ועמ' 188; התשמ"ג, עמ' 42.</w:t>
                  </w:r>
                </w:p>
                <w:p w:rsidR="0092471F" w:rsidRPr="002063A8" w:rsidRDefault="0092471F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2 ס"ח התשכ"ח, עמ' .108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62" o:spid="_x0000_s1027" type="#_x0000_t202" style="position:absolute;left:0;text-align:left;margin-left:96.9pt;margin-top:132.5pt;width:463.7pt;height:533.8pt;z-index:2;mso-wrap-style:none;mso-position-horizontal-relative:page;mso-position-vertical-relative:page" stroked="f">
            <v:textbox style="mso-next-textbox:#_x0000_s32862" inset="0,0,0,0">
              <w:txbxContent>
                <w:tbl>
                  <w:tblPr>
                    <w:tblW w:w="49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0"/>
                    <w:gridCol w:w="1272"/>
                    <w:gridCol w:w="1361"/>
                  </w:tblGrid>
                  <w:tr w:rsidR="0092471F" w:rsidRPr="002063A8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92471F" w:rsidRDefault="0092471F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פיצויים לנפגעי תאונות דרכים, התשל"ה-1975  1(להלן - החוק</w:t>
                        </w:r>
                      </w:p>
                      <w:p w:rsidR="0092471F" w:rsidRDefault="00924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בהגדרת "נזק גוף" בסופה יבוא "לרבות פגיעה בהתקן הדרוש לתפקוד אחד</w:t>
                        </w:r>
                      </w:p>
                      <w:p w:rsidR="0092471F" w:rsidRPr="002063A8" w:rsidRDefault="00924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מאברי הגוף שהיה מחובר לגוף הנפגע בעת אירוע תאונת הדרכים".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92471F" w:rsidRPr="002063A8" w:rsidRDefault="00924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92471F" w:rsidRPr="002063A8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92471F" w:rsidRDefault="00924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 (ב) לחוק העיקרי, אחרי ל"כלי הרכב" יבוא "בתאונת דרכים שבה היו</w:t>
                        </w:r>
                      </w:p>
                      <w:p w:rsidR="0092471F" w:rsidRDefault="00924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מעורבים מספר כלי רכבי/ ובסופו יבוא "לענין חלוקת החבות בין הנוהגים לפי סעיף קטן</w:t>
                        </w:r>
                      </w:p>
                      <w:p w:rsidR="0092471F" w:rsidRDefault="00924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רואים כלי רכב כמעורב בתאונת דרכים אם בעת התאונה היה מגע בינו לבין כלי רכב</w:t>
                        </w:r>
                      </w:p>
                      <w:p w:rsidR="0092471F" w:rsidRPr="002063A8" w:rsidRDefault="00924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או בינו לבין הנפגע".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92471F" w:rsidRPr="002063A8" w:rsidRDefault="00924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92471F" w:rsidRPr="002063A8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92471F" w:rsidRDefault="00924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4 לחוק העיקרי -</w:t>
                        </w:r>
                      </w:p>
                      <w:p w:rsidR="0092471F" w:rsidRDefault="00924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פסקה (2) תסומן (3) ובמקום פסקה (1) יבוא:</w:t>
                        </w:r>
                      </w:p>
                      <w:p w:rsidR="0092471F" w:rsidRDefault="00924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בחישוב הפיצויים בשל אבדן השתכרות ואבדן כושר השתכרות לא</w:t>
                        </w:r>
                      </w:p>
                      <w:p w:rsidR="0092471F" w:rsidRDefault="00924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תובא בחשבון הכנסה העולה על שילוש השכר הממוצע במשק )להלן -</w:t>
                        </w:r>
                      </w:p>
                      <w:p w:rsidR="0092471F" w:rsidRDefault="00924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מרבית); היה שיעור אבדן השתכרותו ואבדן כושר השתכרותו של</w:t>
                        </w:r>
                      </w:p>
                      <w:p w:rsidR="0092471F" w:rsidRDefault="00924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הנפגע פחות ממאה אחוזים, תופחת גם ההכנסה המרבית שתובא בחשבון</w:t>
                        </w:r>
                      </w:p>
                      <w:p w:rsidR="0092471F" w:rsidRDefault="00924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בחישוב הפיצויים, בשיעור שבו פחת ממאה אחוזים;</w:t>
                        </w:r>
                      </w:p>
                      <w:p w:rsidR="0092471F" w:rsidRDefault="00924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פסקה זו, "השכר הממוצע במשק" - השכר הממוצע במשק לפי נתוני</w:t>
                        </w:r>
                      </w:p>
                      <w:p w:rsidR="0092471F" w:rsidRDefault="00924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 המרכזית לסטטיסטיקה או השכר הממוצע כמשמעותו בחוק הביטוח</w:t>
                        </w:r>
                      </w:p>
                      <w:p w:rsidR="0092471F" w:rsidRDefault="00924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 [נוסח משולב], התשכ"ח-21968, כפי שהם ערב קביעת הפיצוי,</w:t>
                        </w:r>
                      </w:p>
                      <w:p w:rsidR="0092471F" w:rsidRDefault="00924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הגבוה יותר.</w:t>
                        </w:r>
                      </w:p>
                      <w:p w:rsidR="0092471F" w:rsidRDefault="00924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היו הפיצויים האמורים פטורים ממס הכנסה יחושבו הפסדי הנפגע לענין</w:t>
                        </w:r>
                      </w:p>
                      <w:p w:rsidR="0092471F" w:rsidRDefault="00924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אלה לפי הכנסתו לאחר ניכוי מס הכנסה החל עליה בעת קביעתם,</w:t>
                        </w:r>
                      </w:p>
                      <w:p w:rsidR="0092471F" w:rsidRDefault="00924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שההפחתה בשל ניכוי המס כאמור לא תעלה על 25 אחוזים מן</w:t>
                        </w:r>
                      </w:p>
                      <w:p w:rsidR="0092471F" w:rsidRDefault="00924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שלפיה יחושבו פיצויים אלה."</w:t>
                        </w:r>
                      </w:p>
                      <w:p w:rsidR="0092471F" w:rsidRDefault="00924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92471F" w:rsidRDefault="00924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בית המשפט רשאי ליתן פסק דין על דרך הפשרה לענין זכותו של</w:t>
                        </w:r>
                      </w:p>
                      <w:p w:rsidR="0092471F" w:rsidRDefault="00924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נפגע לפיצוי לפי חוק זה, אם בעלי הדין הסכימו לתת לבית המשפט סמכות</w:t>
                        </w:r>
                      </w:p>
                      <w:p w:rsidR="0092471F" w:rsidRPr="002063A8" w:rsidRDefault="00924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כאמור; פסק הדין יהיה ניתן לערעור ככל פסק דין אחר."</w:t>
                        </w:r>
                      </w:p>
                    </w:tc>
                    <w:tc>
                      <w:tcPr>
                        <w:tcW w:w="807" w:type="pct"/>
                      </w:tcPr>
                      <w:p w:rsidR="0092471F" w:rsidRPr="002063A8" w:rsidRDefault="00924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92471F" w:rsidRPr="002063A8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92471F" w:rsidRPr="002063A8" w:rsidRDefault="00924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6 לחוק העיקרי יבוא:</w:t>
                        </w:r>
                      </w:p>
                    </w:tc>
                    <w:tc>
                      <w:tcPr>
                        <w:tcW w:w="807" w:type="pct"/>
                        <w:vMerge w:val="restart"/>
                      </w:tcPr>
                      <w:p w:rsidR="0092471F" w:rsidRDefault="00924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92471F" w:rsidRPr="002063A8" w:rsidRDefault="00924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 ו-6ב</w:t>
                        </w:r>
                      </w:p>
                    </w:tc>
                  </w:tr>
                  <w:tr w:rsidR="0092471F">
                    <w:trPr>
                      <w:jc w:val="right"/>
                    </w:trPr>
                    <w:tc>
                      <w:tcPr>
                        <w:tcW w:w="3439" w:type="pct"/>
                      </w:tcPr>
                      <w:p w:rsidR="0092471F" w:rsidRDefault="00924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(א) שר המשפטים רשאי לקבוע בתקנות, באישור ועדת החוקה</w:t>
                        </w:r>
                      </w:p>
                      <w:p w:rsidR="0092471F" w:rsidRDefault="00924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ומשפט של הכנסת, הוראות בדבר מינוי מומחה אשר יחווה דעתו</w:t>
                        </w:r>
                      </w:p>
                      <w:p w:rsidR="0092471F" w:rsidRDefault="00924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הנכות הרפואית של נפגע, או בכל נושא רפואי אחר, לרבות דרכי</w:t>
                        </w:r>
                      </w:p>
                      <w:p w:rsidR="0092471F" w:rsidRDefault="00924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שיקומו של הנפגע, ובדבר סמכויותיו וחובותיו של המומחה.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92471F" w:rsidRPr="002063A8" w:rsidRDefault="00924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"מומחה רפואי</w:t>
                        </w:r>
                      </w:p>
                    </w:tc>
                    <w:tc>
                      <w:tcPr>
                        <w:tcW w:w="807" w:type="pct"/>
                        <w:vMerge/>
                      </w:tcPr>
                      <w:p w:rsidR="0092471F" w:rsidRDefault="0092471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2471F" w:rsidRDefault="0092471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863" o:spid="_x0000_s1028" type="#_x0000_t202" style="position:absolute;left:0;text-align:left;margin-left:158.9pt;margin-top:86.35pt;width:270.45pt;height:42pt;z-index:1;mso-wrap-style:none;mso-position-horizontal-relative:page;mso-position-vertical-relative:page" stroked="f">
            <v:textbox style="mso-next-textbox:#_x0000_s32863" inset="0,0,0,0">
              <w:txbxContent>
                <w:p w:rsidR="0092471F" w:rsidRDefault="0092471F">
                  <w:pPr>
                    <w:pStyle w:val="OCRStyle1"/>
                    <w:ind w:left="270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פיצויים לנפגעי תאונות דרכים (תיקון מס' 5),</w:t>
                  </w:r>
                </w:p>
                <w:p w:rsidR="0092471F" w:rsidRPr="002063A8" w:rsidRDefault="0092471F">
                  <w:pPr>
                    <w:pStyle w:val="OCRStyle1"/>
                    <w:ind w:left="167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התשמ"ה-1985 *</w:t>
                  </w:r>
                </w:p>
              </w:txbxContent>
            </v:textbox>
            <w10:wrap anchorx="page" anchory="page"/>
          </v:shape>
        </w:pict>
      </w:r>
    </w:p>
    <w:p w:rsidR="004F376A" w:rsidRDefault="004F376A">
      <w:pPr>
        <w:rPr>
          <w:rtl/>
        </w:rPr>
      </w:pPr>
      <w:r>
        <w:rPr>
          <w:rtl/>
        </w:rPr>
        <w:br w:type="page"/>
      </w:r>
    </w:p>
    <w:p w:rsidR="004F376A" w:rsidRDefault="00000000">
      <w:pPr>
        <w:rPr>
          <w:rtl/>
        </w:rPr>
      </w:pPr>
      <w:r>
        <w:pict>
          <v:shape id="_x0000_s32864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2864" inset="0,0,0,0">
              <w:txbxContent>
                <w:p w:rsidR="0092471F" w:rsidRDefault="0092471F">
                  <w:r>
                    <w:rPr>
                      <w:rtl/>
                    </w:rPr>
                    <w:t>17                                          ספר החוקים 1129                   ט"ו בטבת התשמ"ה 08.01.1985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65" o:spid="_x0000_s1030" type="#_x0000_t202" style="position:absolute;left:0;text-align:left;margin-left:359pt;margin-top:701.15pt;width:175.05pt;height:49.5pt;z-index:9;mso-wrap-style:none;mso-position-horizontal-relative:page;mso-position-vertical-relative:page" stroked="f">
            <v:textbox style="mso-next-textbox:#_x0000_s32865" inset="0,0,0,0">
              <w:txbxContent>
                <w:p w:rsidR="0092471F" w:rsidRPr="004F376A" w:rsidRDefault="0092471F">
                  <w:pPr>
                    <w:pStyle w:val="OCRStyle2"/>
                    <w:ind w:left="148"/>
                  </w:pPr>
                  <w:r>
                    <w:rPr>
                      <w:rtl/>
                    </w:rPr>
                    <w:t>3 דיני מדינת ישראל, נוסח חדש 15, עמ' 320.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66" o:spid="_x0000_s1031" type="#_x0000_t202" style="position:absolute;left:0;text-align:left;margin-left:177.65pt;margin-top:642.55pt;width:76.65pt;height:23.15pt;z-index:8;mso-wrap-style:none;mso-position-horizontal-relative:page;mso-position-vertical-relative:page" stroked="f">
            <v:textbox style="mso-next-textbox:#_x0000_s32866" inset="0,0,0,0">
              <w:txbxContent>
                <w:p w:rsidR="0092471F" w:rsidRDefault="0092471F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92471F" w:rsidRDefault="0092471F">
                  <w:pPr>
                    <w:pStyle w:val="OCRStyle2"/>
                    <w:ind w:left="20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67" o:spid="_x0000_s1032" type="#_x0000_t202" style="position:absolute;left:0;text-align:left;margin-left:298.8pt;margin-top:643.35pt;width:94.05pt;height:28.1pt;z-index:7;mso-wrap-style:none;mso-position-horizontal-relative:page;mso-position-vertical-relative:page" stroked="f">
            <v:textbox style="mso-next-textbox:#_x0000_s32867" inset="0,0,0,0">
              <w:txbxContent>
                <w:p w:rsidR="0092471F" w:rsidRDefault="0092471F">
                  <w:pPr>
                    <w:pStyle w:val="OCRStyle2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92471F" w:rsidRDefault="0092471F">
                  <w:pPr>
                    <w:pStyle w:val="OCRStyle2"/>
                    <w:ind w:left="39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68" o:spid="_x0000_s1033" type="#_x0000_t202" style="position:absolute;left:0;text-align:left;margin-left:420.95pt;margin-top:664.75pt;width:88.3pt;height:35.65pt;z-index:6;mso-wrap-style:none;mso-position-horizontal-relative:page;mso-position-vertical-relative:page" stroked="f">
            <v:textbox style="mso-next-textbox:#_x0000_s32868" inset="0,0,0,0">
              <w:txbxContent>
                <w:p w:rsidR="0092471F" w:rsidRDefault="0092471F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2471F" w:rsidRDefault="0092471F">
                  <w:pPr>
                    <w:pStyle w:val="OCRStyle2"/>
                    <w:ind w:left="2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69" o:spid="_x0000_s1034" type="#_x0000_t202" style="position:absolute;left:0;text-align:left;margin-left:84.35pt;margin-top:70.75pt;width:463.5pt;height:571.65pt;z-index:5;mso-wrap-style:none;mso-position-horizontal-relative:page;mso-position-vertical-relative:page" stroked="f">
            <v:textbox style="mso-next-textbox:#_x0000_s32869" inset="0,0,0,0">
              <w:txbxContent>
                <w:tbl>
                  <w:tblPr>
                    <w:tblW w:w="49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4"/>
                    <w:gridCol w:w="5768"/>
                    <w:gridCol w:w="1446"/>
                  </w:tblGrid>
                  <w:tr w:rsidR="0092471F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2" w:type="pct"/>
                      </w:tcPr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מונה מומחה כאמור בסעיף קטן (א), יחולו הוראות אלה:</w:t>
                        </w:r>
                      </w:p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בעלי דין יהיו רשאים להזמין את המומחה לבית-</w:t>
                        </w:r>
                      </w:p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לחקירה, אולם לא יהיו רשאים להביא עדות נוספת</w:t>
                        </w:r>
                      </w:p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מומחה לענין הנדון אלא ברשות בית המשפט מטעמים</w:t>
                        </w:r>
                      </w:p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 שיירשמו;</w:t>
                        </w:r>
                      </w:p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צד יהיה רשאי להפנות אל המומחה, בכתב, שאלות</w:t>
                        </w:r>
                      </w:p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הבהרה לחוות הדעת שנתן;</w:t>
                        </w:r>
                      </w:p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בית המשפט יקבע את שכרו של המומחה, והוא ישולם</w:t>
                        </w:r>
                      </w:p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בעלי הדין או אחד מהם, כפי שיורה בית המשפט.</w:t>
                        </w:r>
                      </w:p>
                    </w:tc>
                    <w:tc>
                      <w:tcPr>
                        <w:tcW w:w="858" w:type="pct"/>
                      </w:tcPr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2471F" w:rsidRPr="004F376A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2" w:type="pct"/>
                      </w:tcPr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6ב. נקבעה על פי כל דין דרגת נכות לנפגע בשל הפגיעה שנגרמה לו</w:t>
                        </w:r>
                      </w:p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תאונת דרכים, לפני שמיעת הראיות בתביעה לפי חוק זה, תחייב</w:t>
                        </w:r>
                      </w:p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קביעה זאת גם לצורך התביעה על פי חוק זה; ואולם בית המשפט יהיה</w:t>
                        </w:r>
                      </w:p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להתיר לבעל דין בתביעה לפי חוק זה, להביא ראיות לסתור את</w:t>
                        </w:r>
                      </w:p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הקביעה האמורה, אם שוכנע שמן הצדק להתיר זאת מטעמים מיוחדים</w:t>
                        </w:r>
                      </w:p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שיירשמו."</w:t>
                        </w:r>
                      </w:p>
                    </w:tc>
                    <w:tc>
                      <w:tcPr>
                        <w:tcW w:w="858" w:type="pct"/>
                      </w:tcPr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דרגת</w:t>
                        </w:r>
                      </w:p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 לפי</w:t>
                        </w:r>
                      </w:p>
                      <w:p w:rsidR="0092471F" w:rsidRPr="004F376A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אחר</w:t>
                        </w:r>
                      </w:p>
                    </w:tc>
                  </w:tr>
                  <w:tr w:rsidR="0092471F" w:rsidRPr="004F376A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92471F" w:rsidRPr="004F376A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12א ו-12ב</w:t>
                        </w:r>
                      </w:p>
                    </w:tc>
                    <w:tc>
                      <w:tcPr>
                        <w:tcW w:w="4280" w:type="pct"/>
                        <w:gridSpan w:val="2"/>
                      </w:tcPr>
                      <w:p w:rsidR="0092471F" w:rsidRPr="004F376A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12 לחוק העיקרי יבוא:</w:t>
                        </w:r>
                      </w:p>
                    </w:tc>
                  </w:tr>
                  <w:tr w:rsidR="0092471F" w:rsidRPr="004F376A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2" w:type="pct"/>
                      </w:tcPr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12א. חלה על הקרן חבות כאמור בסעיף 12 (א) (3), יראו את הקרן,</w:t>
                        </w:r>
                      </w:p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כלפי המפרק, כנושה של המבטח לגבי סכום החבות.</w:t>
                        </w:r>
                      </w:p>
                    </w:tc>
                    <w:tc>
                      <w:tcPr>
                        <w:tcW w:w="858" w:type="pct"/>
                      </w:tcPr>
                      <w:p w:rsidR="0092471F" w:rsidRPr="004F376A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"הקרן כנושה</w:t>
                        </w:r>
                      </w:p>
                    </w:tc>
                  </w:tr>
                  <w:tr w:rsidR="0092471F" w:rsidRPr="004F376A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2" w:type="pct"/>
                      </w:tcPr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ב. (א) היה מבטח הנמצא בפירוק מבוטח בביטוח משנה בפני</w:t>
                        </w:r>
                      </w:p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חבויות שהוא עשוי להתחייב בהן כלפי צד שלישי ולגבי המקרה חלה</w:t>
                        </w:r>
                      </w:p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חבות הקרן כאמור בסעיף 12 (א) (3), יעברו זכויותיו של המבטח כלפי</w:t>
                        </w:r>
                      </w:p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מבטח המשנה לגבי אותו מקרה לקרן, על אף האמור בדין אחר, והקרן</w:t>
                        </w:r>
                      </w:p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תהא רשאית לתבוע את מבטח המשנה על פי זכויות אלה.</w:t>
                        </w:r>
                      </w:p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טענה שמבטח המשנה יכול לטעון כלפי המבטח תעמוד לו</w:t>
                        </w:r>
                      </w:p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כלפי הקרן.</w:t>
                        </w:r>
                      </w:p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חוזה ביטוח משנה ופעולה של המבטח אין בכוחם לגרוע</w:t>
                        </w:r>
                      </w:p>
                      <w:p w:rsidR="0092471F" w:rsidRPr="004F376A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מזכויות שהוקנו לקרן לפי חוק זה."</w:t>
                        </w:r>
                      </w:p>
                    </w:tc>
                    <w:tc>
                      <w:tcPr>
                        <w:tcW w:w="858" w:type="pct"/>
                      </w:tcPr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הקרן</w:t>
                        </w:r>
                      </w:p>
                      <w:p w:rsidR="0092471F" w:rsidRPr="004F376A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בפירוק</w:t>
                        </w:r>
                      </w:p>
                    </w:tc>
                  </w:tr>
                  <w:tr w:rsidR="0092471F" w:rsidRPr="004F376A">
                    <w:trPr>
                      <w:jc w:val="right"/>
                    </w:trPr>
                    <w:tc>
                      <w:tcPr>
                        <w:tcW w:w="720" w:type="pct"/>
                        <w:vMerge w:val="restart"/>
                      </w:tcPr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 סעיף</w:t>
                        </w:r>
                      </w:p>
                      <w:p w:rsidR="0092471F" w:rsidRPr="004F376A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15א</w:t>
                        </w:r>
                      </w:p>
                    </w:tc>
                    <w:tc>
                      <w:tcPr>
                        <w:tcW w:w="4280" w:type="pct"/>
                        <w:gridSpan w:val="2"/>
                      </w:tcPr>
                      <w:p w:rsidR="0092471F" w:rsidRPr="004F376A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סעיף 15 לחוק העיקרי יבוא:</w:t>
                        </w:r>
                      </w:p>
                    </w:tc>
                  </w:tr>
                  <w:tr w:rsidR="0092471F" w:rsidRPr="004F376A">
                    <w:trPr>
                      <w:jc w:val="right"/>
                    </w:trPr>
                    <w:tc>
                      <w:tcPr>
                        <w:tcW w:w="720" w:type="pct"/>
                        <w:vMerge/>
                      </w:tcPr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2" w:type="pct"/>
                      </w:tcPr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15א. לענין תשלום מסים, דין הקרן כדין המדינה."</w:t>
                        </w:r>
                      </w:p>
                    </w:tc>
                    <w:tc>
                      <w:tcPr>
                        <w:tcW w:w="858" w:type="pct"/>
                      </w:tcPr>
                      <w:p w:rsidR="0092471F" w:rsidRPr="004F376A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"מסים</w:t>
                        </w:r>
                      </w:p>
                    </w:tc>
                  </w:tr>
                  <w:tr w:rsidR="0092471F" w:rsidRPr="004F376A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רכב</w:t>
                        </w:r>
                      </w:p>
                      <w:p w:rsidR="0092471F" w:rsidRPr="004F376A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מנועי</w:t>
                        </w:r>
                      </w:p>
                    </w:tc>
                    <w:tc>
                      <w:tcPr>
                        <w:tcW w:w="4280" w:type="pct"/>
                        <w:gridSpan w:val="2"/>
                      </w:tcPr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3 (א) (1) לפקודת ביטוח רכב מנועי [נוסח חדש], התש"ל-31970, במקום</w:t>
                        </w:r>
                      </w:p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"מותו או חבלת גופו של אדם שנגרמו" יבוא "נזק גוף שנגרם לאדם" ובסופו יבוא</w:t>
                        </w:r>
                      </w:p>
                      <w:p w:rsidR="0092471F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"לענין זה, "נזק גוף" - כמשמעותו בחוק פיצויים לנפגעי תאונות דרכים, התשל"ה-</w:t>
                        </w:r>
                      </w:p>
                      <w:p w:rsidR="0092471F" w:rsidRPr="004F376A" w:rsidRDefault="00924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1975""</w:t>
                        </w:r>
                      </w:p>
                    </w:tc>
                  </w:tr>
                </w:tbl>
                <w:p w:rsidR="0092471F" w:rsidRDefault="0092471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2471F" w:rsidRDefault="0092471F">
      <w:pPr>
        <w:rPr>
          <w:rtl/>
        </w:rPr>
      </w:pPr>
      <w:r>
        <w:rPr>
          <w:rtl/>
        </w:rPr>
        <w:br w:type="page"/>
      </w:r>
    </w:p>
    <w:p w:rsidR="0092471F" w:rsidRDefault="00000000">
      <w:pPr>
        <w:rPr>
          <w:rtl/>
        </w:rPr>
      </w:pPr>
      <w:r>
        <w:pict>
          <v:shape id="_x0000_s32870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2870" inset="0,0,0,0">
              <w:txbxContent>
                <w:p w:rsidR="0092471F" w:rsidRDefault="0092471F">
                  <w:r>
                    <w:rPr>
                      <w:rtl/>
                    </w:rPr>
                    <w:t>18                                          ספר החוקים 1129                   ט"ו בטבת התשמ"ה 08.01.1985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71" o:spid="_x0000_s1036" type="#_x0000_t202" style="position:absolute;left:0;text-align:left;margin-left:101pt;margin-top:723.7pt;width:142.75pt;height:31.5pt;z-index:11;mso-wrap-style:none;mso-position-horizontal-relative:page;mso-position-vertical-relative:page" stroked="f">
            <v:textbox style="mso-next-textbox:#_x0000_s32871" inset="0,0,0,0">
              <w:txbxContent>
                <w:p w:rsidR="0092471F" w:rsidRDefault="0092471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063A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0967802-3387-4E5C-A1A6-7C4E466B7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063A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F376A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92471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2008-04-07T01:56:00Z</dcterms:created>
  <dcterms:modified xsi:type="dcterms:W3CDTF">2008-04-07T01:56:00Z</dcterms:modified>
</cp:coreProperties>
</file>