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61C5" w:rsidRDefault="00E161C5">
      <w:pPr>
        <w:rPr>
          <w:rtl/>
        </w:rPr>
      </w:pPr>
    </w:p>
    <w:p w:rsidR="00E161C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90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903" inset="0,0,0,0">
              <w:txbxContent>
                <w:p w:rsidR="00D16607" w:rsidRDefault="00D16607">
                  <w:r>
                    <w:rPr>
                      <w:rtl/>
                    </w:rPr>
                    <w:t>29                                          ספר החוקים 1133                   י"ד בשבט התשמ"ה 05.02.1985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04" o:spid="_x0000_s1026" type="#_x0000_t202" style="position:absolute;left:0;text-align:left;margin-left:152.05pt;margin-top:680.6pt;width:389.45pt;height:74.25pt;z-index:3;mso-wrap-style:none;mso-position-horizontal-relative:page;mso-position-vertical-relative:page" stroked="f">
            <v:textbox style="mso-next-textbox:#_x0000_s32904" inset="0,0,0,0">
              <w:txbxContent>
                <w:p w:rsidR="00D16607" w:rsidRDefault="00D1660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התשמ"ה (30 בינואר 1985); הצעת החוק ודברי הסבר פורסמו בה''ח 1712, התשמ"ה,</w:t>
                  </w:r>
                </w:p>
                <w:p w:rsidR="00D16607" w:rsidRDefault="00D16607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עמ' 90.</w:t>
                  </w:r>
                </w:p>
                <w:p w:rsidR="00D16607" w:rsidRPr="00E161C5" w:rsidRDefault="00D16607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1 ס"ח התשי"ח, עמ' 24; התשמ"ב,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05" o:spid="_x0000_s1027" type="#_x0000_t202" style="position:absolute;left:0;text-align:left;margin-left:83.75pt;margin-top:519.65pt;width:458.55pt;height:152.65pt;z-index:2;mso-wrap-style:none;mso-position-horizontal-relative:page;mso-position-vertical-relative:page" stroked="f">
            <v:textbox style="mso-next-textbox:#_x0000_s32905" inset="0,0,0,0">
              <w:txbxContent>
                <w:tbl>
                  <w:tblPr>
                    <w:tblW w:w="48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5712"/>
                    <w:gridCol w:w="1309"/>
                  </w:tblGrid>
                  <w:tr w:rsidR="00D16607" w:rsidRPr="00E161C5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D16607" w:rsidRPr="00E161C5" w:rsidRDefault="00D166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החל6ת סעיף 4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D16607" w:rsidRDefault="00D166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4 לחוק הפיקוח על מצרכים ושירותים, התשי"ח-1957 1( להלן -</w:t>
                        </w:r>
                      </w:p>
                      <w:p w:rsidR="00D16607" w:rsidRPr="00E161C5" w:rsidRDefault="00D166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</w:tc>
                  </w:tr>
                  <w:tr w:rsidR="00D16607" w:rsidRPr="00E161C5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D16607" w:rsidRDefault="00D1660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5" w:type="pct"/>
                      </w:tcPr>
                      <w:p w:rsidR="00D16607" w:rsidRDefault="00D166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שר רשאי להכריז על מצרכים ועל שירותים כמצרכים או</w:t>
                        </w:r>
                      </w:p>
                      <w:p w:rsidR="00D16607" w:rsidRDefault="00D166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כשירותים בני-פיקוח; הכרזה כאמור יכול שתהיה למצרך או לשירות</w:t>
                        </w:r>
                      </w:p>
                      <w:p w:rsidR="00D16607" w:rsidRDefault="00D166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מסויים, לסוגי מצרכים ושירותים או לכלל המצרכים והשירותים.</w:t>
                        </w:r>
                      </w:p>
                      <w:p w:rsidR="00D16607" w:rsidRDefault="00D166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אכרזה לפי סעיף זה תימסר לועדת הכלכלה של</w:t>
                        </w:r>
                      </w:p>
                      <w:p w:rsidR="00D16607" w:rsidRDefault="00D166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 האכרזה תפורסם ברשומות."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16607" w:rsidRDefault="00D166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"אכרזה על</w:t>
                        </w:r>
                      </w:p>
                      <w:p w:rsidR="00D16607" w:rsidRDefault="00D166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ושירותים</w:t>
                        </w:r>
                      </w:p>
                      <w:p w:rsidR="00D16607" w:rsidRPr="00E161C5" w:rsidRDefault="00D166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בני-פיקוח</w:t>
                        </w:r>
                      </w:p>
                    </w:tc>
                  </w:tr>
                  <w:tr w:rsidR="00D16607" w:rsidRPr="00E161C5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D16607" w:rsidRPr="00E161C5" w:rsidRDefault="00D166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ניטול סעיף 16ט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D16607" w:rsidRPr="00E161C5" w:rsidRDefault="00D166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16ט לחוק העיקרי - בטל.</w:t>
                        </w:r>
                      </w:p>
                    </w:tc>
                  </w:tr>
                </w:tbl>
                <w:p w:rsidR="00D16607" w:rsidRDefault="00D166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906" o:spid="_x0000_s1028" type="#_x0000_t202" style="position:absolute;left:0;text-align:left;margin-left:164.55pt;margin-top:480.85pt;width:354.8pt;height:33.85pt;z-index:1;mso-wrap-style:none;mso-position-horizontal-relative:page;mso-position-vertical-relative:page" stroked="f">
            <v:textbox style="mso-next-textbox:#_x0000_s32906" inset="0,0,0,0">
              <w:txbxContent>
                <w:p w:rsidR="00D16607" w:rsidRPr="00E161C5" w:rsidRDefault="00D16607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הפיקוח על מצרכים ושירותים (תיקון מס' 13), התשמ"ה-1985?</w:t>
                  </w:r>
                </w:p>
              </w:txbxContent>
            </v:textbox>
            <w10:wrap anchorx="page" anchory="page"/>
          </v:shape>
        </w:pict>
      </w:r>
    </w:p>
    <w:p w:rsidR="00D16607" w:rsidRDefault="00D16607">
      <w:pPr>
        <w:rPr>
          <w:rtl/>
        </w:rPr>
      </w:pPr>
      <w:r>
        <w:rPr>
          <w:rtl/>
        </w:rPr>
        <w:br w:type="page"/>
      </w:r>
    </w:p>
    <w:p w:rsidR="00D16607" w:rsidRDefault="00000000">
      <w:pPr>
        <w:rPr>
          <w:rtl/>
        </w:rPr>
      </w:pPr>
      <w:r>
        <w:pict>
          <v:shape id="_x0000_s3290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907" inset="0,0,0,0">
              <w:txbxContent>
                <w:p w:rsidR="00D16607" w:rsidRDefault="00D16607">
                  <w:r>
                    <w:rPr>
                      <w:rtl/>
                    </w:rPr>
                    <w:t>30                                          ספר החוקים 1133                   י"ד בשבט התשמ"ה 05.02.1985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08" o:spid="_x0000_s1030" type="#_x0000_t202" style="position:absolute;left:0;text-align:left;margin-left:99.5pt;margin-top:711pt;width:168.3pt;height:44.55pt;z-index:9;mso-wrap-style:none;mso-position-horizontal-relative:page;mso-position-vertical-relative:page" stroked="f">
            <v:textbox style="mso-next-textbox:#_x0000_s32908" inset="0,0,0,0">
              <w:txbxContent>
                <w:p w:rsidR="00D16607" w:rsidRDefault="00D1660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909" o:spid="_x0000_s1031" type="#_x0000_t202" style="position:absolute;left:0;text-align:left;margin-left:115.15pt;margin-top:357.8pt;width:107.3pt;height:36.45pt;z-index:8;mso-wrap-style:none;mso-position-horizontal-relative:page;mso-position-vertical-relative:page" stroked="f">
            <v:textbox style="mso-next-textbox:#_x0000_s32909" inset="0,0,0,0">
              <w:txbxContent>
                <w:p w:rsidR="00D16607" w:rsidRDefault="00D16607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D16607" w:rsidRDefault="00D16607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10" o:spid="_x0000_s1032" type="#_x0000_t202" style="position:absolute;left:0;text-align:left;margin-left:257.9pt;margin-top:356.2pt;width:94.85pt;height:41.2pt;z-index:7;mso-wrap-style:none;mso-position-horizontal-relative:page;mso-position-vertical-relative:page" stroked="f">
            <v:textbox style="mso-next-textbox:#_x0000_s32910" inset="0,0,0,0">
              <w:txbxContent>
                <w:p w:rsidR="00D16607" w:rsidRDefault="00D16607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16607" w:rsidRDefault="00D16607">
                  <w:pPr>
                    <w:pStyle w:val="OCRStyle2"/>
                    <w:ind w:left="5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11" o:spid="_x0000_s1033" type="#_x0000_t202" style="position:absolute;left:0;text-align:left;margin-left:382.45pt;margin-top:385.1pt;width:85.75pt;height:40.4pt;z-index:6;mso-wrap-style:none;mso-position-horizontal-relative:page;mso-position-vertical-relative:page" stroked="f">
            <v:textbox style="mso-next-textbox:#_x0000_s32911" inset="0,0,0,0">
              <w:txbxContent>
                <w:p w:rsidR="00D16607" w:rsidRDefault="00D16607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D16607" w:rsidRDefault="00D16607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12" o:spid="_x0000_s1034" type="#_x0000_t202" style="position:absolute;left:0;text-align:left;margin-left:88pt;margin-top:64.15pt;width:472.65pt;height:280.55pt;z-index:5;mso-wrap-style:none;mso-position-horizontal-relative:page;mso-position-vertical-relative:page" stroked="f">
            <v:textbox style="mso-next-textbox:#_x0000_s32912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77"/>
                    <w:gridCol w:w="646"/>
                    <w:gridCol w:w="1272"/>
                  </w:tblGrid>
                  <w:tr w:rsidR="00D16607" w:rsidRPr="00D16607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27 לחוק העיקרי יסומן (א) ואחריו יבוא:</w:t>
                        </w:r>
                      </w:p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השכר שיוצג כאמור בסעיף קטן (א) יהיה בשקלים, זולת אם התיר השר</w:t>
                        </w:r>
                      </w:p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בקיבתו במטבע אחר; התיר השר כאמור, תימסר הודעה על כך לועדת הכלכלה</w:t>
                        </w:r>
                      </w:p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D16607" w:rsidRPr="00D16607" w:rsidRDefault="00D166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D16607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D16607" w:rsidRDefault="00D166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האמור בסעיף 41 לחוק העיקרי יסומן (א) ואחריו יבוא:</w:t>
                        </w:r>
                      </w:p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הוראת סעיף קטן (א) לא תחול על תביעה בשל עבירה על סעיפים 20(א)(1),</w:t>
                        </w:r>
                      </w:p>
                      <w:p w:rsidR="00D16607" w:rsidRP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21א, 21ב, ועל צו שניתן לפי סעיף 21(ב) ו-27."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</w:tr>
                  <w:tr w:rsidR="00D16607" w:rsidRPr="00D16607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40 לחוק העיקרי יבוא:</w:t>
                        </w:r>
                      </w:p>
                    </w:tc>
                    <w:tc>
                      <w:tcPr>
                        <w:tcW w:w="754" w:type="pct"/>
                      </w:tcPr>
                      <w:p w:rsidR="00D16607" w:rsidRPr="00D16607" w:rsidRDefault="00D166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40א</w:t>
                        </w:r>
                      </w:p>
                    </w:tc>
                  </w:tr>
                  <w:tr w:rsidR="00D16607">
                    <w:trPr>
                      <w:jc w:val="right"/>
                    </w:trPr>
                    <w:tc>
                      <w:tcPr>
                        <w:tcW w:w="3898" w:type="pct"/>
                      </w:tcPr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ראה הממונה כמשמעותו בפרק שני 1 כי אדם עבר על הוראה</w:t>
                        </w:r>
                      </w:p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חוק זה, רשאי הוא, באישור היועץ המשפטי לממשלה או</w:t>
                        </w:r>
                      </w:p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כוחו ובהסכמת אותו אדם, לקחת מידו כופר כסף שלא יעלה על</w:t>
                        </w:r>
                      </w:p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הגבוה ביותר שמותר להטילו בשל אותה עבירה; הוגש כתב</w:t>
                        </w:r>
                      </w:p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נגד האדם, אין לקבל כופר כסף בשל העבירה כל עוד לא עוכבו</w:t>
                        </w:r>
                      </w:p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המשפט או התובע חזר בו מן האישום."</w:t>
                        </w:r>
                      </w:p>
                    </w:tc>
                    <w:tc>
                      <w:tcPr>
                        <w:tcW w:w="348" w:type="pct"/>
                      </w:tcPr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''כופר</w:t>
                        </w:r>
                      </w:p>
                    </w:tc>
                    <w:tc>
                      <w:tcPr>
                        <w:tcW w:w="754" w:type="pct"/>
                      </w:tcPr>
                      <w:p w:rsidR="00D16607" w:rsidRDefault="00D1660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16607" w:rsidRDefault="00D1660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61C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B65D1A-128F-4A04-8123-0AC3D1E0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61C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1660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2008-04-07T01:57:00Z</dcterms:created>
  <dcterms:modified xsi:type="dcterms:W3CDTF">2008-04-07T01:57:00Z</dcterms:modified>
</cp:coreProperties>
</file>