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79DD" w:rsidRDefault="00D479DD">
      <w:pPr>
        <w:rPr>
          <w:rtl/>
        </w:rPr>
      </w:pPr>
    </w:p>
    <w:p w:rsidR="00D479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1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195" inset="0,0,0,0">
              <w:txbxContent>
                <w:p w:rsidR="00923CC7" w:rsidRDefault="00923CC7">
                  <w:r>
                    <w:rPr>
                      <w:rtl/>
                    </w:rPr>
                    <w:t>90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6" o:spid="_x0000_s1026" type="#_x0000_t202" style="position:absolute;left:0;text-align:left;margin-left:87.8pt;margin-top:666.25pt;width:377pt;height:90.5pt;z-index:3;mso-position-horizontal-relative:page;mso-position-vertical-relative:page" stroked="f">
            <v:textbox style="mso-next-textbox:#_x0000_s33196" inset="0,0,0,0">
              <w:txbxContent>
                <w:p w:rsidR="00923CC7" w:rsidRDefault="00923CC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תשכ"א (28 במרס 1961); הצעת החוק ודברי הסבר נתפרסמו בה''ח 429,</w:t>
                  </w:r>
                </w:p>
                <w:p w:rsidR="00923CC7" w:rsidRDefault="00923CC7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תש"ך, עמ' 140.</w:t>
                  </w:r>
                </w:p>
                <w:p w:rsidR="00923CC7" w:rsidRDefault="00923CC7">
                  <w:pPr>
                    <w:pStyle w:val="OCRStyle1"/>
                    <w:ind w:left="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 ;;236, תשי"ח, עמ' 4.</w:t>
                  </w:r>
                </w:p>
                <w:p w:rsidR="00923CC7" w:rsidRPr="00D479DD" w:rsidRDefault="00923CC7">
                  <w:pPr>
                    <w:pStyle w:val="OCRStyle1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286, תשי"ט, עמ' .169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197" o:spid="_x0000_s1027" type="#_x0000_t202" style="position:absolute;left:0;text-align:left;margin-left:87.8pt;margin-top:362.5pt;width:469.05pt;height:299.55pt;z-index:2;mso-position-horizontal-relative:page;mso-position-vertical-relative:page" stroked="f">
            <v:textbox style="mso-next-textbox:#_x0000_s3319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2"/>
                    <w:gridCol w:w="1436"/>
                    <w:gridCol w:w="1472"/>
                  </w:tblGrid>
                  <w:tr w:rsidR="00923CC7" w:rsidRPr="00D479DD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923CC7" w:rsidRDefault="00923C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הניקוז וההגנה מפני שטפונות, תשי"ח-1957  1(להלן-החוק העיקרי),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ההגדרות של "ועדת שפיטה" ושל "המנהל" יבואו הגדרות אלה?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דין לעניני מים" - בית דין לעניני מים שהוקם על פי חוק המים, תשי"ט-1959  2:</w:t>
                        </w:r>
                      </w:p>
                      <w:p w:rsidR="00923CC7" w:rsidRPr="00D479DD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"הנציב" - נציב המים לענין חוק המים, תשי"ט-1959."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23CC7" w:rsidRPr="00D479DD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23CC7" w:rsidRPr="00D479DD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העיקרי ובתקנות על פיו, במקום "ועדת שפיטה" יבוא "בית דין לעניני מים"</w:t>
                        </w:r>
                      </w:p>
                      <w:p w:rsidR="00923CC7" w:rsidRPr="00D479DD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"המנהל" יבוא "הנציב".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23CC7" w:rsidRPr="00D479DD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מונחים</w:t>
                        </w:r>
                      </w:p>
                    </w:tc>
                  </w:tr>
                  <w:tr w:rsidR="00923CC7" w:rsidRPr="00D479DD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923CC7" w:rsidRPr="00D479DD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30 לחוק העיקרי בטל סעיף קטן (ב) ויימחק הסימן (א) שלפני סעיף קטן (א).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23CC7" w:rsidRPr="00D479DD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923CC7" w:rsidRPr="00D479DD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923CC7" w:rsidRPr="00D479DD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סעיף 30 לחוק העיקרי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 30א</w:t>
                        </w:r>
                      </w:p>
                      <w:p w:rsidR="00923CC7" w:rsidRPr="00D479DD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עד30ד</w:t>
                        </w:r>
                      </w:p>
                    </w:tc>
                  </w:tr>
                  <w:tr w:rsidR="00923CC7">
                    <w:trPr>
                      <w:jc w:val="right"/>
                    </w:trPr>
                    <w:tc>
                      <w:tcPr>
                        <w:tcW w:w="3295" w:type="pct"/>
                      </w:tcPr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מקרקעין המיועדים לפי תכנית לתפיסה צמיתה כאמור בסעיף 18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חלק מחלקה רשומה בפנקס מקרקעין, רשאית רשות הניקוז, לפי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בחירתה, במקום לרכשם כאמור בסעיף 30, לחברם לתקופה שלא תעלה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הסכמת המחכיר על שנתיים, כשהם חפשים מכל שעבוד, עיקול או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חפצית אחרת, וזכות החכירה תירשם בפנקס מקרקעין על שם רשות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על סמך אישור לכך מאת שר החקלאות: תנאי החכירה כאמור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-תקופתה, להוציא תנאים בדבר מתן פיצויים וצורתם, ייקבעו באותו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שר החקלאות, וכל תשלום חובה שחל על המחכיר, בשל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מקרקעין, אחרי התפיסה - יחול על רשות ניקוז.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'רכישת זבות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חכירה במקרקעין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23CC7" w:rsidRDefault="00923C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23CC7" w:rsidRPr="00D479DD" w:rsidRDefault="00923C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23CC7" w:rsidRDefault="00923C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3CC7" w:rsidRDefault="00923C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198" o:spid="_x0000_s1028" type="#_x0000_t202" style="position:absolute;left:0;text-align:left;margin-left:116.1pt;margin-top:328.85pt;width:328.1pt;height:29.3pt;z-index:1;mso-position-horizontal-relative:page;mso-position-vertical-relative:page" stroked="f">
            <v:textbox style="mso-next-textbox:#_x0000_s33198" inset="0,0,0,0">
              <w:txbxContent>
                <w:p w:rsidR="00923CC7" w:rsidRPr="00D479DD" w:rsidRDefault="00923CC7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הניקוז וההגנה מפני שטפונות (תיקון), תשכ"א-1961 *</w:t>
                  </w:r>
                </w:p>
              </w:txbxContent>
            </v:textbox>
            <w10:wrap anchorx="page" anchory="page"/>
          </v:shape>
        </w:pict>
      </w:r>
    </w:p>
    <w:p w:rsidR="00C15232" w:rsidRDefault="00C15232">
      <w:pPr>
        <w:rPr>
          <w:rtl/>
        </w:rPr>
      </w:pPr>
      <w:r>
        <w:rPr>
          <w:rtl/>
        </w:rPr>
        <w:br w:type="page"/>
      </w:r>
    </w:p>
    <w:p w:rsidR="00C15232" w:rsidRDefault="00000000">
      <w:pPr>
        <w:rPr>
          <w:rtl/>
        </w:rPr>
      </w:pPr>
      <w:r>
        <w:pict>
          <v:shape id="_x0000_s331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199" inset="0,0,0,0">
              <w:txbxContent>
                <w:p w:rsidR="00923CC7" w:rsidRDefault="00923CC7">
                  <w:r>
                    <w:rPr>
                      <w:rtl/>
                    </w:rPr>
                    <w:t>91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0" o:spid="_x0000_s1030" type="#_x0000_t202" style="position:absolute;left:0;text-align:left;margin-left:354.75pt;margin-top:683.55pt;width:201.55pt;height:73.25pt;z-index:6;mso-position-horizontal-relative:page;mso-position-vertical-relative:page" stroked="f">
            <v:textbox style="mso-next-textbox:#_x0000_s33200" inset="0,0,0,0">
              <w:txbxContent>
                <w:p w:rsidR="00923CC7" w:rsidRPr="00C15232" w:rsidRDefault="00923CC7">
                  <w:pPr>
                    <w:pStyle w:val="OCRStyle2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ע''ר 1943, תוס' 1 מס' 1305 ,עמ'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1" o:spid="_x0000_s1031" type="#_x0000_t202" style="position:absolute;left:0;text-align:left;margin-left:91.4pt;margin-top:83.6pt;width:456.2pt;height:572.4pt;z-index:5;mso-position-horizontal-relative:page;mso-position-vertical-relative:page" stroked="f">
            <v:textbox style="mso-next-textbox:#_x0000_s332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5544"/>
                    <w:gridCol w:w="1508"/>
                  </w:tblGrid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30ב. תפסה רשות ניקוז מכוח תכנית מקרקעין שהיו מיועדים לתפיסה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צמיתה לפי אותה תכנית' והם חלק מחלקה רשומה בפנקס מקרקעין,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להפריד את החלק על ידי רישום פיצול החלקה בפנקסי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המקרקעין; רשם המקרקעין ירשום את הפיצול, על אף האמור בכל דין,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תשריט מאושר על ידי שר החקלאות ומחלקת המדידות ולאחר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לבעלי זכות במקרקעין אלה על כוונתו לעשות כן.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פיצול</w:t>
                        </w:r>
                      </w:p>
                    </w:tc>
                  </w:tr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30ג. תפסה רשות ניקוז מכוח תכנית מקרקעין שהיו מיועדים לתפיסה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צמיתה על פי אותה תכנית, תשלם עליהם פיצויים למי שהיה זכאי להם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נתפסו המקרקעין לצמיתות על ידי רשות מים כאמור בסעיף 90 (1)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המים, תשי"ט-1959, ורואים את המקרקעין לענין תשלום הפיצויים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נרכשו על ידי רשות הניקוז בבעלות, בין שנרכשו כך למעשה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שנחכרו בלבד כאמור בסעיף 30א: חובת תשלום הפיצויים נוצרת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שנתפסו המקרקעין כאמור.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בעד</w:t>
                        </w:r>
                      </w:p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מקרקעין</w:t>
                        </w:r>
                      </w:p>
                    </w:tc>
                  </w:tr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30ד. רשמה רשות ניקוז פיצול כאמור בסעיף 30ב במקרקעין שנחכרו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ידיה, ושילמה את הפיצויים המגיעים לפי סעיף 30ג, רשאים הן המחכיר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והן רשות הניקוז לדרוש שרשות הניקוז תירשם בפנקס המקרקעין כבעלים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החלק הנפרד ושהחכירה תבוטל; סירב אחד מהם להסכים לרישום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ולביטול כאמור, רשאי בית הדין לעניני מים, על פי בקשתו של השני,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לרשם המקרקעין לבטל את החכירה ולרשום את רשות הניקוז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כבעלים של החלק הנפרד כאמור."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הפיכת זכות</w:t>
                        </w:r>
                      </w:p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חכירה לבעלות</w:t>
                        </w:r>
                      </w:p>
                    </w:tc>
                  </w:tr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34א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923CC7" w:rsidRPr="00C15232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34 לחוק העיקרי יבוא סעיף זה:</w:t>
                        </w:r>
                      </w:p>
                    </w:tc>
                  </w:tr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(א) כללים שנקבעו לחישוב פיצויים לפי סימן ד' בפרק השלישי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המים, תשי"ט-1959, יחולו בתביעות פיצויים לפי חוק זה על גרימת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מסוג הנזקים שנקבעו בכללים אלה.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נקבעו כללים כאמור, יהיו שיעור הפיצויים בעד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מקרקעין על פי תכנית וחישובם - כאמור בפקודת הקרקעות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(רכישה לצרכי ציבור), 1943  3, למעט סעיף 20 שבו, ובשינויים המחריבים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 בין השאר יבוא לענין זה מועד הפרסום ברשומות בדבר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התכנית לפי סעיף 19 במקום מועד פרסום ההודעה לפי סעיף 5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פקודה."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הפיצויים.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923CC7" w:rsidRPr="00C15232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923CC7" w:rsidRPr="00C15232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  <w:tc>
                      <w:tcPr>
                        <w:tcW w:w="4251" w:type="pct"/>
                        <w:gridSpan w:val="2"/>
                      </w:tcPr>
                      <w:p w:rsidR="00923CC7" w:rsidRDefault="00923CC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בסעיף 43 לחוק העיקרי -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יווסף:</w:t>
                        </w:r>
                      </w:p>
                      <w:p w:rsidR="00923CC7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 אין נפקא מינה, אם הארנונה נגבית על ידי רשות הניקוז או</w:t>
                        </w:r>
                      </w:p>
                      <w:p w:rsidR="00923CC7" w:rsidRPr="00C15232" w:rsidRDefault="00923C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רשות מקומית" :</w:t>
                        </w:r>
                      </w:p>
                    </w:tc>
                  </w:tr>
                </w:tbl>
                <w:p w:rsidR="00923CC7" w:rsidRDefault="00923C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23CC7" w:rsidRDefault="00923CC7">
      <w:pPr>
        <w:rPr>
          <w:rtl/>
        </w:rPr>
      </w:pPr>
      <w:r>
        <w:rPr>
          <w:rtl/>
        </w:rPr>
        <w:br w:type="page"/>
      </w:r>
    </w:p>
    <w:p w:rsidR="00923CC7" w:rsidRDefault="00000000">
      <w:pPr>
        <w:rPr>
          <w:rtl/>
        </w:rPr>
      </w:pPr>
      <w:r>
        <w:pict>
          <v:shape id="_x0000_s3320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202" inset="0,0,0,0">
              <w:txbxContent>
                <w:p w:rsidR="00923CC7" w:rsidRDefault="00923CC7">
                  <w:r>
                    <w:rPr>
                      <w:rtl/>
                    </w:rPr>
                    <w:t>92                                           ספר החוקים 336                  י"ט בניסן התשכ"א 05.04.1961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3" o:spid="_x0000_s1033" type="#_x0000_t202" style="position:absolute;left:0;text-align:left;margin-left:88.5pt;margin-top:697.75pt;width:174.85pt;height:55.05pt;z-index:12;mso-position-horizontal-relative:page;mso-position-vertical-relative:page" stroked="f">
            <v:textbox style="mso-next-textbox:#_x0000_s33203" inset="0,0,0,0">
              <w:txbxContent>
                <w:p w:rsidR="00923CC7" w:rsidRDefault="00923C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204" o:spid="_x0000_s1034" type="#_x0000_t202" style="position:absolute;left:0;text-align:left;margin-left:112.65pt;margin-top:344.75pt;width:93.85pt;height:44.75pt;z-index:11;mso-position-horizontal-relative:page;mso-position-vertical-relative:page" stroked="f">
            <v:textbox style="mso-next-textbox:#_x0000_s33204" inset="0,0,0,0">
              <w:txbxContent>
                <w:p w:rsidR="00923CC7" w:rsidRDefault="00923CC7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923CC7" w:rsidRDefault="00923CC7">
                  <w:pPr>
                    <w:pStyle w:val="OCRStyle3"/>
                    <w:ind w:left="425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5" o:spid="_x0000_s1035" type="#_x0000_t202" style="position:absolute;left:0;text-align:left;margin-left:221.95pt;margin-top:340.6pt;width:115.45pt;height:49.9pt;z-index:10;mso-position-horizontal-relative:page;mso-position-vertical-relative:page" stroked="f">
            <v:textbox style="mso-next-textbox:#_x0000_s33205" inset="0,0,0,0">
              <w:txbxContent>
                <w:p w:rsidR="00923CC7" w:rsidRDefault="00923CC7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23CC7" w:rsidRDefault="00923CC7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6" o:spid="_x0000_s1036" type="#_x0000_t202" style="position:absolute;left:0;text-align:left;margin-left:371.85pt;margin-top:373.25pt;width:103.15pt;height:43.95pt;z-index:9;mso-position-horizontal-relative:page;mso-position-vertical-relative:page" stroked="f">
            <v:textbox style="mso-next-textbox:#_x0000_s33206" inset="0,0,0,0">
              <w:txbxContent>
                <w:p w:rsidR="00923CC7" w:rsidRDefault="00923CC7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3CC7" w:rsidRDefault="00923CC7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7" o:spid="_x0000_s1037" type="#_x0000_t202" style="position:absolute;left:0;text-align:left;margin-left:81.8pt;margin-top:71.1pt;width:471.65pt;height:242.75pt;z-index:8;mso-position-horizontal-relative:page;mso-position-vertical-relative:page" stroked="f">
            <v:textbox style="mso-next-textbox:#_x0000_s3320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8"/>
                    <w:gridCol w:w="1278"/>
                  </w:tblGrid>
                  <w:tr w:rsidR="00923CC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יבואו סעיפים קטנים אלה: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החקלאות' בהסכמת שר הפנים/ רשאי לחייב רשות מקומית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שתחומה כלול, כולו או מקצתו, בתחום רשות הניקוז' לשלם לרשות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את הסכום הכולל של ארנונות הניקוז על המקרקעין שבתחומה'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שומות סופיות שנערכו לבעלי מקרקעין אלה' ורשות מקומית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שנתחייבה לשלמן כאמור רשאית לגבותן מבעלי המקרקעין החייבים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בתשלומן במידה שלא שילמו אותן במישרין לרשות הניקוז.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נתחייבה רשות מקומית לשלם ארנונות ניקוז לרשות הניקוז'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בתקציבה את הסכום הכולל של הארנונות המגיע לתקופת התקציב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כתקבול מגבית ארנונות הניקוז והן כתשלום לרשות הניקוז' ורשאית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לשנות פריטים אלה בתקציבה' אם חלו שינויים באומדן עקב הכרעות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בעררים ובערעורים על שומות."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23CC7" w:rsidRPr="00923CC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63 לחוק העיקרי' במקום המלים "למעט סעיף 30 (ב)"' יבואו המלים "שסעיף</w:t>
                        </w:r>
                      </w:p>
                      <w:p w:rsidR="00923CC7" w:rsidRDefault="00923C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 אינו חל עליהם".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23CC7" w:rsidRPr="00923CC7" w:rsidRDefault="00923CC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</w:tbl>
                <w:p w:rsidR="00923CC7" w:rsidRDefault="00923C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79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DB1D7A-A93B-4123-84D9-C25A2C1C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79D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1523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23CC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2008-04-06T19:42:00Z</dcterms:created>
  <dcterms:modified xsi:type="dcterms:W3CDTF">2008-04-06T19:43:00Z</dcterms:modified>
</cp:coreProperties>
</file>