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1304" w:rsidRDefault="00281304">
      <w:pPr>
        <w:rPr>
          <w:rtl/>
        </w:rPr>
      </w:pPr>
    </w:p>
    <w:p w:rsidR="002813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2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324" inset="0,0,0,0">
              <w:txbxContent>
                <w:p w:rsidR="007F0FD3" w:rsidRDefault="007F0FD3">
                  <w:r>
                    <w:rPr>
                      <w:rtl/>
                    </w:rPr>
                    <w:t>27                                           ספר החוקים 384                   י"ג בטבת התשכ"ג 09.01.1963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25" o:spid="_x0000_s1026" type="#_x0000_t202" style="position:absolute;left:0;text-align:left;margin-left:374.65pt;margin-top:721.05pt;width:187.7pt;height:36.05pt;z-index:7;mso-position-horizontal-relative:page;mso-position-vertical-relative:page" stroked="f">
            <v:textbox style="mso-next-textbox:#_x0000_s33325" inset="0,0,0,0">
              <w:txbxContent>
                <w:p w:rsidR="007F0FD3" w:rsidRDefault="007F0F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26" o:spid="_x0000_s1027" type="#_x0000_t202" style="position:absolute;left:0;text-align:left;margin-left:161.2pt;margin-top:628pt;width:387.3pt;height:56.85pt;z-index:6;mso-position-horizontal-relative:page;mso-position-vertical-relative:page" stroked="f">
            <v:textbox style="mso-next-textbox:#_x0000_s33326" inset="0,0,0,0">
              <w:txbxContent>
                <w:p w:rsidR="007F0FD3" w:rsidRDefault="007F0FD3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די בטבת תשכ''ג (31 בדצמבר 1962); הצעת החוק ודברי הסבר פורסמו בת"ח 530/ תשכ"ג,</w:t>
                  </w:r>
                </w:p>
                <w:p w:rsidR="007F0FD3" w:rsidRDefault="007F0FD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עמ'8.</w:t>
                  </w:r>
                </w:p>
                <w:p w:rsidR="007F0FD3" w:rsidRDefault="007F0FD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 ס''ח 109, תשי''ב, עמ' 339.</w:t>
                  </w:r>
                </w:p>
                <w:p w:rsidR="007F0FD3" w:rsidRDefault="007F0FD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2 ס''ח 295, תשי"ט, עמ' .276</w:t>
                  </w:r>
                </w:p>
                <w:p w:rsidR="007F0FD3" w:rsidRPr="00281304" w:rsidRDefault="007F0FD3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3 ס"ח 106/ תשי"ב/ עמי .287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27" o:spid="_x0000_s1028" type="#_x0000_t202" style="position:absolute;left:0;text-align:left;margin-left:193.9pt;margin-top:238.95pt;width:71.5pt;height:37.05pt;z-index:5;mso-position-horizontal-relative:page;mso-position-vertical-relative:page" stroked="f">
            <v:textbox style="mso-next-textbox:#_x0000_s33327" inset="0,0,0,0">
              <w:txbxContent>
                <w:p w:rsidR="007F0FD3" w:rsidRDefault="007F0FD3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7F0FD3" w:rsidRDefault="007F0FD3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28" o:spid="_x0000_s1029" type="#_x0000_t202" style="position:absolute;left:0;text-align:left;margin-left:291.1pt;margin-top:239.75pt;width:109.3pt;height:39.6pt;z-index:4;mso-position-horizontal-relative:page;mso-position-vertical-relative:page" stroked="f">
            <v:textbox style="mso-next-textbox:#_x0000_s33328" inset="0,0,0,0">
              <w:txbxContent>
                <w:p w:rsidR="007F0FD3" w:rsidRDefault="007F0FD3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F0FD3" w:rsidRDefault="007F0FD3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29" o:spid="_x0000_s1030" type="#_x0000_t202" style="position:absolute;left:0;text-align:left;margin-left:458.2pt;margin-top:265.65pt;width:90.3pt;height:40.4pt;z-index:3;mso-position-horizontal-relative:page;mso-position-vertical-relative:page" stroked="f">
            <v:textbox style="mso-next-textbox:#_x0000_s33329" inset="0,0,0,0">
              <w:txbxContent>
                <w:p w:rsidR="007F0FD3" w:rsidRDefault="007F0FD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F0FD3" w:rsidRDefault="007F0FD3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30" o:spid="_x0000_s1031" type="#_x0000_t202" style="position:absolute;left:0;text-align:left;margin-left:98.25pt;margin-top:106.3pt;width:445.9pt;height:131.85pt;z-index:2;mso-position-horizontal-relative:page;mso-position-vertical-relative:page" stroked="f">
            <v:textbox style="mso-next-textbox:#_x0000_s3333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3"/>
                    <w:gridCol w:w="5667"/>
                    <w:gridCol w:w="1340"/>
                  </w:tblGrid>
                  <w:tr w:rsidR="007F0FD3" w:rsidRPr="00281304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7F0FD3" w:rsidRPr="00281304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7F0FD3" w:rsidRPr="00281304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הנזיקין האזרחיים (אחריות המדינה)/ תשי"ב-1932 1, אחרי סעיף 7 יבוא:</w:t>
                        </w:r>
                      </w:p>
                    </w:tc>
                  </w:tr>
                  <w:tr w:rsidR="007F0FD3" w:rsidRPr="00281304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הוגשה תובענה בנזיקין נגד המדינה ונדחתה מכוח הסעיפים 6 או 7,</w:t>
                        </w:r>
                      </w:p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תסתיים תקופת ההתיישנות להגשת בקשות להענקות ותגמולים לפי חוק</w:t>
                        </w:r>
                      </w:p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 (תגמולים ושיקום), תשי"ט-1959 ננוסח משולב]2, וחוק משפחות</w:t>
                        </w:r>
                      </w:p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שנספו במערכה (תגמולים ושיקום), תש"י-1950 3, במועד הקבוע</w:t>
                        </w:r>
                      </w:p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או בתום ששה חדשים מיום מתן פסק דין שאין עליו ערעור עוד,</w:t>
                        </w:r>
                      </w:p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המועד המאוחר יותר, ובלבד שהתובענה בנזיקין הוגשה לא</w:t>
                        </w:r>
                      </w:p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משנה לאחר תום תקופת ההתיישנות הקבועה באותם חוקים."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7F0FD3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"התיישנות לענין</w:t>
                        </w:r>
                      </w:p>
                      <w:p w:rsidR="007F0FD3" w:rsidRPr="00281304" w:rsidRDefault="007F0F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שיקום</w:t>
                        </w:r>
                      </w:p>
                    </w:tc>
                  </w:tr>
                </w:tbl>
                <w:p w:rsidR="007F0FD3" w:rsidRDefault="007F0F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31" o:spid="_x0000_s1032" type="#_x0000_t202" style="position:absolute;left:0;text-align:left;margin-left:180pt;margin-top:78.75pt;width:353.05pt;height:24.15pt;z-index:1;mso-position-horizontal-relative:page;mso-position-vertical-relative:page" stroked="f">
            <v:textbox style="mso-next-textbox:#_x0000_s33331" inset="0,0,0,0">
              <w:txbxContent>
                <w:p w:rsidR="007F0FD3" w:rsidRPr="00281304" w:rsidRDefault="007F0FD3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הנזיקין האזרחיים (אחריות המדינה) (תיקון), תשכ"ג-1962 *</w:t>
                  </w:r>
                </w:p>
              </w:txbxContent>
            </v:textbox>
            <w10:wrap anchorx="page" anchory="page"/>
          </v:shape>
        </w:pict>
      </w:r>
    </w:p>
    <w:p w:rsidR="007F0FD3" w:rsidRDefault="007F0FD3">
      <w:pPr>
        <w:rPr>
          <w:rtl/>
        </w:rPr>
      </w:pPr>
      <w:r>
        <w:rPr>
          <w:rtl/>
        </w:rPr>
        <w:br w:type="page"/>
      </w:r>
    </w:p>
    <w:p w:rsidR="007F0FD3" w:rsidRDefault="00000000">
      <w:pPr>
        <w:rPr>
          <w:rtl/>
        </w:rPr>
      </w:pPr>
      <w:r>
        <w:pict>
          <v:shape id="_x0000_s33332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332" inset="0,0,0,0">
              <w:txbxContent>
                <w:p w:rsidR="007F0FD3" w:rsidRDefault="007F0FD3">
                  <w:r>
                    <w:rPr>
                      <w:rtl/>
                    </w:rPr>
                    <w:t>28                                           ספר החוקים 384                   י"ג בטבת התשכ"ג 09.01.1963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33" o:spid="_x0000_s1034" type="#_x0000_t202" style="position:absolute;left:0;text-align:left;margin-left:89.2pt;margin-top:708.3pt;width:162.75pt;height:41.2pt;z-index:9;mso-position-horizontal-relative:page;mso-position-vertical-relative:page" stroked="f">
            <v:textbox style="mso-next-textbox:#_x0000_s33333" inset="0,0,0,0">
              <w:txbxContent>
                <w:p w:rsidR="007F0FD3" w:rsidRDefault="007F0FD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813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654BE8-B4BB-4849-9018-09A92314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130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F0FD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2008-04-07T02:06:00Z</dcterms:created>
  <dcterms:modified xsi:type="dcterms:W3CDTF">2008-04-07T02:06:00Z</dcterms:modified>
</cp:coreProperties>
</file>