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6053" w:rsidRDefault="00156053">
      <w:pPr>
        <w:rPr>
          <w:rtl/>
        </w:rPr>
      </w:pPr>
    </w:p>
    <w:p w:rsidR="001560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4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410" inset="0,0,0,0">
              <w:txbxContent>
                <w:p w:rsidR="006D49A6" w:rsidRDefault="006D49A6">
                  <w:r>
                    <w:rPr>
                      <w:rtl/>
                    </w:rPr>
                    <w:t>137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11" o:spid="_x0000_s1026" type="#_x0000_t202" style="position:absolute;left:0;text-align:left;margin-left:162.55pt;margin-top:662.6pt;width:387.3pt;height:70.7pt;z-index:3;mso-wrap-style:none;mso-position-horizontal-relative:page;mso-position-vertical-relative:page" stroked="f">
            <v:textbox style="mso-next-textbox:#_x0000_s33411" inset="0,0,0,0">
              <w:txbxContent>
                <w:p w:rsidR="006D49A6" w:rsidRDefault="006D49A6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תשכ"ז (7 באוגוסט 1967); הצעת החוק ודברי הסבר פורסמו בה"ח 724, תשכ"ז,</w:t>
                  </w:r>
                </w:p>
                <w:p w:rsidR="006D49A6" w:rsidRDefault="006D49A6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עמ, 110.</w:t>
                  </w:r>
                </w:p>
                <w:p w:rsidR="006D49A6" w:rsidRPr="00156053" w:rsidRDefault="006D49A6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1 ס"ח 37, תש"י, עמ' 86; ס"ח תשי"א, עמ' 70; ס"ח תשט"ז, עמ' 34; "סח תשכ"ה,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12" o:spid="_x0000_s1027" type="#_x0000_t202" style="position:absolute;left:0;text-align:left;margin-left:91.1pt;margin-top:115.1pt;width:455.4pt;height:544.1pt;z-index:2;mso-wrap-style:none;mso-position-horizontal-relative:page;mso-position-vertical-relative:page" stroked="f">
            <v:textbox style="mso-next-textbox:#_x0000_s33412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5"/>
                    <w:gridCol w:w="5678"/>
                    <w:gridCol w:w="1436"/>
                  </w:tblGrid>
                  <w:tr w:rsidR="006D49A6" w:rsidRPr="00156053">
                    <w:trPr>
                      <w:jc w:val="right"/>
                    </w:trPr>
                    <w:tc>
                      <w:tcPr>
                        <w:tcW w:w="704" w:type="pct"/>
                        <w:vMerge w:val="restar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6D49A6" w:rsidRPr="00156053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29ט-29טז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6D49A6" w:rsidRPr="00156053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29ח לחוק נכסי נפקדים, תש"י-1950 ,1 יבוא:</w:t>
                        </w:r>
                      </w:p>
                    </w:tc>
                  </w:tr>
                  <w:tr w:rsidR="006D49A6" w:rsidRPr="00156053">
                    <w:trPr>
                      <w:jc w:val="right"/>
                    </w:trPr>
                    <w:tc>
                      <w:tcPr>
                        <w:tcW w:w="704" w:type="pct"/>
                        <w:vMerge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ט. (א) שחרר האפוטרופוס נכס מנכסי הכנסיה האוונגלית-אפיסקופ-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לית, שהוקנה לו, רשאי הוא להעביר את הבעלות בו לחבר נאמנים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לפי סעיף 29י, זולת אם היה הנכס בשעת הקנייתו מוקדש לטובת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משפחתו של המקדיש או בני משפחה אחרת והנהנים עודם בחיים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ההעברה.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"נכס הכנסיה האוונגלית-אפיסקופלית", לענין סעיף זה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וסעיפים 29י עד 29טז - מקרקעין שהוקדשו כדין לטובת הכנסיה האוונ-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גלית-אפיסקופלית, ומקרקעין שנקבע עליהם בפסק דין של בית-משפט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מוסמך, כי בשעת הקנייתם לאפוטרופוס היתה הבעלות בהם בידי הכנסיה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האוונגלית-אפיסקופלית או היו מוקדשים או מוחזקים לטובת כלל הנמנים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כנסיה זו או חלק מהם, והוא אף אם בשעת ההקנייה היה אדם אחר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כבעל המקרקעין.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"שחרור נכסי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הכנסיה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האוונגלית-</w:t>
                        </w:r>
                      </w:p>
                      <w:p w:rsidR="006D49A6" w:rsidRPr="00156053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אפיסקופלית</w:t>
                        </w:r>
                      </w:p>
                    </w:tc>
                  </w:tr>
                  <w:tr w:rsidR="006D49A6" w:rsidRPr="0015605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429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29י. (א) יוקם חבר נאמנים לניהול נכסים של הכנסיה האוונגלית-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אפיסקופלית בישראל, ששוחררו והועברו אליו לפי חוק זה.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הנאמנים יתמנה באישור הממשלה על ידי הארכיבישוף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האנגליקני בירושלים ועל ידי הכומר הבכיר של הכנסיה; האוונגלית-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אפיסקופלית שמושבו בישראל ושיקבע הארכיבישוף לענין זה; הודעה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אישור הממשלה תפורסם ברשומות, והאישור יהא ראיה מכרעת</w:t>
                        </w:r>
                      </w:p>
                      <w:p w:rsidR="006D49A6" w:rsidRPr="00156053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שהמינוי נעשה כדין.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D49A6" w:rsidRPr="00156053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נאמנים</w:t>
                        </w:r>
                      </w:p>
                    </w:tc>
                  </w:tr>
                  <w:tr w:rsidR="006D49A6" w:rsidRPr="0015605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29יא. לענין סעיפים 29-ג, 29ד ו-29ו - דין חבר נאמנים כדין ועד נאמנים.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סעיפים</w:t>
                        </w:r>
                      </w:p>
                      <w:p w:rsidR="006D49A6" w:rsidRPr="00156053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29ג, 29ד ו-29ו</w:t>
                        </w:r>
                      </w:p>
                    </w:tc>
                  </w:tr>
                  <w:tr w:rsidR="006D49A6" w:rsidRPr="0015605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29יב. חבר הנאמנים ינהל את הנכסים שברשותו, ועל אף האמור בכל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על פי דין או מסמך לענין הקדש, ישתמש בהכנסותיהם של הנכסים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בתמורתם למטרות חינוך, דת וצדקה, והכל לצרכי הכנסיה האוונגלית-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אפיסקופלית בישראל או כלל הציבור הנמנים עמה, ובכפוף להוראות של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של מי שמינתה לכך.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הנכסים</w:t>
                        </w:r>
                      </w:p>
                      <w:p w:rsidR="006D49A6" w:rsidRPr="00156053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חבר הנאמנים</w:t>
                        </w:r>
                      </w:p>
                    </w:tc>
                  </w:tr>
                  <w:tr w:rsidR="006D49A6" w:rsidRPr="0015605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29יג. נכסי הכנסיה האוונגלית-אפיסקופלית שהוקנו לאפוטרופוס ולא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שוחררו, ישתמש האפוטרופוס בהם, בהכנסותיהם ובתמורתם למטרות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להן רשאי חבר הנאמנים להשתמש בהם לפי חוק זה.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הנכסים בידי</w:t>
                        </w:r>
                      </w:p>
                      <w:p w:rsidR="006D49A6" w:rsidRPr="00156053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</w:tr>
                  <w:tr w:rsidR="006D49A6" w:rsidRPr="0015605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29יד. שחרר האפוטרופוס מקרקעין מוקנים שבשעת הקנייתם היו מוקדשים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לטובת בני המשפחה של המקדיש או בני משפחה אחרת שעודם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בחיים, והכל כשהמקדיש, בעל המקרקעין, האדם שבידיו החזקה או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הניהול בהם או הנהנים מההקדש היו נמנים אותה שעה עם הכנסיה האוונ-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גלית-אפיסקופלית, רשאי האפוטרופוס להעביר לנהנים אלה את הבעלות</w:t>
                        </w:r>
                      </w:p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D49A6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הקדש</w:t>
                        </w:r>
                      </w:p>
                      <w:p w:rsidR="006D49A6" w:rsidRPr="00156053" w:rsidRDefault="006D49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משפחתי ששוחרר</w:t>
                        </w:r>
                      </w:p>
                    </w:tc>
                  </w:tr>
                </w:tbl>
                <w:p w:rsidR="006D49A6" w:rsidRDefault="006D49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413" o:spid="_x0000_s1028" type="#_x0000_t202" style="position:absolute;left:0;text-align:left;margin-left:170.3pt;margin-top:63.45pt;width:358pt;height:43.95pt;z-index:1;mso-wrap-style:none;mso-position-horizontal-relative:page;mso-position-vertical-relative:page" stroked="f">
            <v:textbox style="mso-next-textbox:#_x0000_s33413" inset="0,0,0,0">
              <w:txbxContent>
                <w:p w:rsidR="006D49A6" w:rsidRDefault="006D49A6">
                  <w:pPr>
                    <w:pStyle w:val="OCRStyle1"/>
                    <w:ind w:left="14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נכסי נפקדים (תיקון מס' 4) (שחרור נכסי הכנסיה האונגלית-</w:t>
                  </w:r>
                </w:p>
                <w:p w:rsidR="006D49A6" w:rsidRPr="00156053" w:rsidRDefault="006D49A6">
                  <w:pPr>
                    <w:pStyle w:val="OCRStyle1"/>
                    <w:ind w:left="11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אפיסקופלית והשימוש בהם), תשכ"ז-1967 *</w:t>
                  </w:r>
                </w:p>
              </w:txbxContent>
            </v:textbox>
            <w10:wrap anchorx="page" anchory="page"/>
          </v:shape>
        </w:pict>
      </w:r>
    </w:p>
    <w:p w:rsidR="006D49A6" w:rsidRDefault="006D49A6">
      <w:pPr>
        <w:rPr>
          <w:rtl/>
        </w:rPr>
      </w:pPr>
      <w:r>
        <w:rPr>
          <w:rtl/>
        </w:rPr>
        <w:br w:type="page"/>
      </w:r>
    </w:p>
    <w:p w:rsidR="006D49A6" w:rsidRDefault="00000000">
      <w:pPr>
        <w:rPr>
          <w:rtl/>
        </w:rPr>
      </w:pPr>
      <w:r>
        <w:pict>
          <v:shape id="_x0000_s3341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414" inset="0,0,0,0">
              <w:txbxContent>
                <w:p w:rsidR="006D49A6" w:rsidRDefault="006D49A6">
                  <w:r>
                    <w:rPr>
                      <w:rtl/>
                    </w:rPr>
                    <w:t>138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15" o:spid="_x0000_s1030" type="#_x0000_t202" style="position:absolute;left:0;text-align:left;margin-left:126.4pt;margin-top:256.15pt;width:82.55pt;height:43.15pt;z-index:8;mso-wrap-style:none;mso-position-horizontal-relative:page;mso-position-vertical-relative:page" stroked="f">
            <v:textbox style="mso-next-textbox:#_x0000_s33415" inset="0,0,0,0">
              <w:txbxContent>
                <w:p w:rsidR="006D49A6" w:rsidRDefault="006D49A6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D49A6" w:rsidRDefault="006D49A6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16" o:spid="_x0000_s1031" type="#_x0000_t202" style="position:absolute;left:0;text-align:left;margin-left:241.65pt;margin-top:256.15pt;width:90.5pt;height:38.8pt;z-index:7;mso-wrap-style:none;mso-position-horizontal-relative:page;mso-position-vertical-relative:page" stroked="f">
            <v:textbox style="mso-next-textbox:#_x0000_s33416" inset="0,0,0,0">
              <w:txbxContent>
                <w:p w:rsidR="006D49A6" w:rsidRDefault="006D49A6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D49A6" w:rsidRDefault="006D49A6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17" o:spid="_x0000_s1032" type="#_x0000_t202" style="position:absolute;left:0;text-align:left;margin-left:361.4pt;margin-top:283.65pt;width:124.75pt;height:53.45pt;z-index:6;mso-wrap-style:none;mso-position-horizontal-relative:page;mso-position-vertical-relative:page" stroked="f">
            <v:textbox style="mso-next-textbox:#_x0000_s33417" inset="0,0,0,0">
              <w:txbxContent>
                <w:p w:rsidR="006D49A6" w:rsidRDefault="006D49A6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D49A6" w:rsidRDefault="006D49A6">
                  <w:pPr>
                    <w:pStyle w:val="OCRStyle2"/>
                    <w:ind w:left="6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18" o:spid="_x0000_s1033" type="#_x0000_t202" style="position:absolute;left:0;text-align:left;margin-left:90.15pt;margin-top:59.15pt;width:417.6pt;height:193.65pt;z-index:5;mso-wrap-style:none;mso-position-horizontal-relative:page;mso-position-vertical-relative:page" stroked="f">
            <v:textbox style="mso-next-textbox:#_x0000_s33418" inset="0,0,0,0">
              <w:txbxContent>
                <w:tbl>
                  <w:tblPr>
                    <w:tblW w:w="44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9"/>
                    <w:gridCol w:w="1793"/>
                  </w:tblGrid>
                  <w:tr w:rsidR="006D49A6" w:rsidRPr="006D49A6">
                    <w:trPr>
                      <w:jc w:val="right"/>
                    </w:trPr>
                    <w:tc>
                      <w:tcPr>
                        <w:tcW w:w="3819" w:type="pct"/>
                      </w:tcPr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29טו. נכס שהועבר כאמור בסעיפים 29ט או 29יד יהא חפשי מכל סייג.</w:t>
                        </w:r>
                      </w:p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התגאה או הגבלה כיוצא באלה שנקבעו על פי כל דין או מסמך לענין</w:t>
                        </w:r>
                      </w:p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הקדשתו.</w:t>
                        </w:r>
                      </w:p>
                    </w:tc>
                    <w:tc>
                      <w:tcPr>
                        <w:tcW w:w="1181" w:type="pct"/>
                      </w:tcPr>
                      <w:p w:rsidR="006D49A6" w:rsidRP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מהגבלות</w:t>
                        </w:r>
                      </w:p>
                    </w:tc>
                  </w:tr>
                  <w:tr w:rsidR="006D49A6" w:rsidRPr="006D49A6">
                    <w:trPr>
                      <w:jc w:val="right"/>
                    </w:trPr>
                    <w:tc>
                      <w:tcPr>
                        <w:tcW w:w="3819" w:type="pct"/>
                      </w:tcPr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29טז. שחרר האפוטרופוס נכסים מוקנים והעביר אותם לועד נאמנים או</w:t>
                        </w:r>
                      </w:p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 נאמנים במקום לבני משפחת המקדיש או לבני משפחה אחרת,</w:t>
                        </w:r>
                      </w:p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שהיה לו יסוד סביר להניח שאמנם הוקדשו לטובתם של אלה, אך</w:t>
                        </w:r>
                      </w:p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אחד מהם איננו בחיים עוד, לא ישא האפוטרופוס מחמת זה בלבד</w:t>
                        </w:r>
                      </w:p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באחריות להעברה כאמור, ובלבד שעשה את כל הדרוש והסביר בנסיבות</w:t>
                        </w:r>
                      </w:p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כדי לברר את גורלם של בני המשפחה הנהנים; באחריות ששוחרר</w:t>
                        </w:r>
                      </w:p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ממנה לפי סעיף זה ישאו ועד הנאמנים או חבר הנאמנים,</w:t>
                        </w:r>
                      </w:p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הענין."</w:t>
                        </w:r>
                      </w:p>
                    </w:tc>
                    <w:tc>
                      <w:tcPr>
                        <w:tcW w:w="1181" w:type="pct"/>
                      </w:tcPr>
                      <w:p w:rsid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האפוטרופוס</w:t>
                        </w:r>
                      </w:p>
                      <w:p w:rsidR="006D49A6" w:rsidRPr="006D49A6" w:rsidRDefault="006D49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</w:t>
                        </w:r>
                      </w:p>
                    </w:tc>
                  </w:tr>
                </w:tbl>
                <w:p w:rsidR="006D49A6" w:rsidRDefault="006D49A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60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3E89C5-22E6-403D-ADA8-FDB0996A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605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D49A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2008-04-09T14:05:00Z</dcterms:created>
  <dcterms:modified xsi:type="dcterms:W3CDTF">2008-04-09T14:05:00Z</dcterms:modified>
</cp:coreProperties>
</file>