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1B4E" w:rsidRDefault="00D51B4E">
      <w:pPr>
        <w:rPr>
          <w:rtl/>
        </w:rPr>
      </w:pPr>
    </w:p>
    <w:p w:rsidR="00D51B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41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419" inset="0,0,0,0">
              <w:txbxContent>
                <w:p w:rsidR="00D51B4E" w:rsidRDefault="00D51B4E">
                  <w:r>
                    <w:rPr>
                      <w:rtl/>
                    </w:rPr>
                    <w:t>102                                          ספר החוקים 249                   ז' בניסן התשי"ח 28.03.1958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20" o:spid="_x0000_s1026" type="#_x0000_t202" style="position:absolute;left:0;text-align:left;margin-left:68.05pt;margin-top:10in;width:404.3pt;height:91.65pt;z-index:6;mso-position-horizontal-relative:page;mso-position-vertical-relative:page" stroked="f">
            <v:textbox style="mso-next-textbox:#_x0000_s33420" inset="0,0,0,0">
              <w:txbxContent>
                <w:p w:rsidR="00D51B4E" w:rsidRDefault="00D51B4E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 נתקבל בכנסת ביום כ"ז באדר תשי"ח (19 במרס 1958); הצעת החוק ודברי הסבר נתפרסמו בה"ח 333, תשי"ח,</w:t>
                  </w:r>
                </w:p>
                <w:p w:rsidR="00D51B4E" w:rsidRDefault="00D51B4E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13-1.</w:t>
                  </w:r>
                </w:p>
                <w:p w:rsidR="00D51B4E" w:rsidRPr="00D51B4E" w:rsidRDefault="00D51B4E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198, תשט"ז,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21" o:spid="_x0000_s1027" type="#_x0000_t202" style="position:absolute;left:0;text-align:left;margin-left:101.5pt;margin-top:628.5pt;width:91.5pt;height:43.35pt;z-index:5;mso-position-horizontal-relative:page;mso-position-vertical-relative:page" stroked="f">
            <v:textbox style="mso-next-textbox:#_x0000_s33421" inset="0,0,0,0">
              <w:txbxContent>
                <w:p w:rsidR="00D51B4E" w:rsidRDefault="00D51B4E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51B4E" w:rsidRDefault="00D51B4E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22" o:spid="_x0000_s1028" type="#_x0000_t202" style="position:absolute;left:0;text-align:left;margin-left:221.7pt;margin-top:633.1pt;width:109.3pt;height:39.8pt;z-index:4;mso-position-horizontal-relative:page;mso-position-vertical-relative:page" stroked="f">
            <v:textbox style="mso-next-textbox:#_x0000_s33422" inset="0,0,0,0">
              <w:txbxContent>
                <w:p w:rsidR="00D51B4E" w:rsidRDefault="00D51B4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51B4E" w:rsidRDefault="00D51B4E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23" o:spid="_x0000_s1029" type="#_x0000_t202" style="position:absolute;left:0;text-align:left;margin-left:354.95pt;margin-top:662.8pt;width:106.35pt;height:42.55pt;z-index:3;mso-position-horizontal-relative:page;mso-position-vertical-relative:page" stroked="f">
            <v:textbox style="mso-next-textbox:#_x0000_s33423" inset="0,0,0,0">
              <w:txbxContent>
                <w:p w:rsidR="00D51B4E" w:rsidRDefault="00D51B4E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51B4E" w:rsidRDefault="00D51B4E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24" o:spid="_x0000_s1030" type="#_x0000_t202" style="position:absolute;left:0;text-align:left;margin-left:70.85pt;margin-top:397.05pt;width:500.55pt;height:225.9pt;z-index:2;mso-position-horizontal-relative:page;mso-position-vertical-relative:page" stroked="f">
            <v:textbox style="mso-next-textbox:#_x0000_s33424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0"/>
                    <w:gridCol w:w="1333"/>
                  </w:tblGrid>
                  <w:tr w:rsidR="00D51B4E" w:rsidRPr="00D51B4E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51B4E" w:rsidRDefault="00D51B4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בית משפט שנתן פסק דין או צו לפינוי או לסילוק יד (להלן - הצו) לפני</w:t>
                        </w:r>
                      </w:p>
                      <w:p w:rsid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נכסי נפקדים (תיקון)' תשט"ז-1956 1, ברשומות (להלן - החוק המתקן), רשאי,</w:t>
                        </w:r>
                      </w:p>
                      <w:p w:rsid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החייב בפינוי או בסילוק יד וכל עוד לא נסתיימה הוצאתו לפועל של הצו, לבטל</w:t>
                        </w:r>
                      </w:p>
                      <w:p w:rsid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לשנות את הצו, אם ראה שאילו פורסם החוק המתקן לפני מתן הצו לא היה נותנו בכלל</w:t>
                        </w:r>
                      </w:p>
                      <w:p w:rsid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בצורה שנתן.</w:t>
                        </w:r>
                      </w:p>
                      <w:p w:rsid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בקשה כאמור בסעיף קטן (א), לא יוצא הצו לפועל לפני גמר הבירור</w:t>
                        </w:r>
                      </w:p>
                      <w:p w:rsid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בבקשה.</w:t>
                        </w:r>
                      </w:p>
                      <w:p w:rsid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פקיד ההוצאה לפועל שנתן צו פינוי שלא על פי פסק דין של בית משפט, יהיו</w:t>
                        </w:r>
                      </w:p>
                      <w:p w:rsid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כל הסמכויות של בית משפט לפי סעיף קטן (א).</w:t>
                        </w:r>
                      </w:p>
                      <w:p w:rsid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בקשה כאמור בסעיף זה לא תישמע אלא אם הוגשה תוך ששה חדשים מתאריך</w:t>
                        </w:r>
                      </w:p>
                      <w:p w:rsidR="00D51B4E" w:rsidRP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זה.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51B4E" w:rsidRPr="00D51B4E" w:rsidRDefault="00D51B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D51B4E" w:rsidRPr="00D51B4E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51B4E" w:rsidRDefault="00D51B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בסעיף 2 לחוק המתקן, במקום המלים "ביום ב' בניסן תש"י (20 במרס 1950)" יבואו</w:t>
                        </w:r>
                      </w:p>
                      <w:p w:rsidR="00D51B4E" w:rsidRPr="00D51B4E" w:rsidRDefault="00D51B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"ביום י"ג בניסן תש"י &lt;31 במרס 1950)'/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51B4E" w:rsidRDefault="00D51B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  <w:p w:rsidR="00D51B4E" w:rsidRPr="00D51B4E" w:rsidRDefault="00D51B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לחוק המתקן</w:t>
                        </w:r>
                      </w:p>
                    </w:tc>
                  </w:tr>
                </w:tbl>
                <w:p w:rsidR="00D51B4E" w:rsidRDefault="00D51B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425" o:spid="_x0000_s1031" type="#_x0000_t202" style="position:absolute;left:0;text-align:left;margin-left:145.85pt;margin-top:348.95pt;width:252.65pt;height:38pt;z-index:1;mso-position-horizontal-relative:page;mso-position-vertical-relative:page" stroked="f">
            <v:textbox style="mso-next-textbox:#_x0000_s33425" inset="0,0,0,0">
              <w:txbxContent>
                <w:p w:rsidR="00D51B4E" w:rsidRPr="00D51B4E" w:rsidRDefault="00D51B4E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נכסי נפקדים (פינוי), תשי"ח-1958*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51B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4004AD-BAD4-45E7-A941-86B1B392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51B4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2008-04-06T19:16:00Z</dcterms:created>
  <dcterms:modified xsi:type="dcterms:W3CDTF">2008-04-06T19:16:00Z</dcterms:modified>
</cp:coreProperties>
</file>