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44C89" w:rsidRDefault="00344C89">
      <w:pPr>
        <w:rPr>
          <w:rtl/>
        </w:rPr>
      </w:pPr>
    </w:p>
    <w:p w:rsidR="00344C8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58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3583" inset="0,0,0,0">
              <w:txbxContent>
                <w:p w:rsidR="00EB6F1B" w:rsidRDefault="00EB6F1B">
                  <w:r>
                    <w:rPr>
                      <w:rtl/>
                    </w:rPr>
                    <w:t>168                                          ספר החוקים 534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84" o:spid="_x0000_s1026" type="#_x0000_t202" style="position:absolute;left:0;text-align:left;margin-left:1in;margin-top:668.8pt;width:379.55pt;height:76.65pt;z-index:3;mso-wrap-style:none;mso-position-horizontal-relative:page;mso-position-vertical-relative:page" stroked="f">
            <v:textbox style="mso-next-textbox:#_x0000_s33584" inset="0,0,0,0">
              <w:txbxContent>
                <w:p w:rsidR="00EB6F1B" w:rsidRDefault="00EB6F1B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תשכ"ח (30 ביולי 1968); הצעת החוק ודברי הסבר פורסמו בה"ח 785, תשכ"ח, עמ'</w:t>
                  </w:r>
                </w:p>
                <w:p w:rsidR="00EB6F1B" w:rsidRDefault="00EB6F1B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346.</w:t>
                  </w:r>
                </w:p>
                <w:p w:rsidR="00EB6F1B" w:rsidRPr="00344C89" w:rsidRDefault="00EB6F1B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1 ס"ח תשי"ט, עמי 276; תשכ"א, עמ' 156; תשכ"ה, עמ' 6, עמ' 292; תשכ"ז, עמ' .139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85" o:spid="_x0000_s1027" type="#_x0000_t202" style="position:absolute;left:0;text-align:left;margin-left:80.55pt;margin-top:105.7pt;width:465.7pt;height:563.1pt;z-index:2;mso-wrap-style:none;mso-position-horizontal-relative:page;mso-position-vertical-relative:page" stroked="f">
            <v:textbox style="mso-next-textbox:#_x0000_s33585" inset="0,0,0,0">
              <w:txbxContent>
                <w:tbl>
                  <w:tblPr>
                    <w:tblW w:w="49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6"/>
                    <w:gridCol w:w="1253"/>
                    <w:gridCol w:w="1429"/>
                  </w:tblGrid>
                  <w:tr w:rsidR="00EB6F1B" w:rsidRPr="00344C89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EB6F1B" w:rsidRDefault="00EB6F1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1 לחוק הנכים ותגמולים ושיקום), תשי"ט-1959 (נוסח משולב]1 (להלן -</w:t>
                        </w:r>
                      </w:p>
                      <w:p w:rsidR="00EB6F1B" w:rsidRPr="00344C89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ההגדרה "הענקה" - תימחק.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EB6F1B" w:rsidRPr="00344C89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EB6F1B" w:rsidRPr="00344C89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EB6F1B" w:rsidRPr="00344C89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 לחוק העיקרי יבוא:</w:t>
                        </w:r>
                      </w:p>
                    </w:tc>
                    <w:tc>
                      <w:tcPr>
                        <w:tcW w:w="844" w:type="pct"/>
                      </w:tcPr>
                      <w:p w:rsidR="00EB6F1B" w:rsidRPr="00344C89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1א</w:t>
                        </w:r>
                      </w:p>
                    </w:tc>
                  </w:tr>
                  <w:tr w:rsidR="00EB6F1B">
                    <w:trPr>
                      <w:jc w:val="right"/>
                    </w:trPr>
                    <w:tc>
                      <w:tcPr>
                        <w:tcW w:w="3416" w:type="pct"/>
                      </w:tcPr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1א. (א) רואים חבלה שאירעה לחייל או לחייל משוחרר כחבלה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שאירעה בתקופת שירותו עקב שירותו גם אם היא נגרמה בדרך אל המחנה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ממנו ובלבד ששהותו מחוץ למחנה היתה כדין ולא חלו בדרך הפסקות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סטיות של ממש שאין להן קשר עם השירות או עם הדרך אל המחנה או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ממנו. לגבי חייל השוהה בחופשה, רואים חבלה כאמור רק אם נגרמה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בדרכו מן המחנה אל יעד חופשתו או בדרכו אל המחנה מיעד חופשתו.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-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"מחנה" - המקום בו שוהה החייל תוך שירותו הצבאי ולגבי איש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 - לרבות מקום התייצבותו;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 השוהה בחופשה" - חייל השוהה כדין מחוץ למחנה שלא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במילוי תפקיד בשירות, ולרבות חייל משוחרר בדרכו בחזרה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השירות.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הטוען שהחייל שהה מחוץ למחנה שלא כדין -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הראיה."</w:t>
                        </w:r>
                      </w:p>
                    </w:tc>
                    <w:tc>
                      <w:tcPr>
                        <w:tcW w:w="740" w:type="pct"/>
                      </w:tcPr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"חבלה בדרך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למחנה או ממנו</w:t>
                        </w:r>
                      </w:p>
                      <w:p w:rsidR="00EB6F1B" w:rsidRPr="00344C89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844" w:type="pct"/>
                      </w:tcPr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B6F1B" w:rsidRPr="00344C89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EB6F1B" w:rsidRPr="00344C89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בכותרת של פרק שני לחוק העיקרי יימחקו המלים "מענק ודמי נכות".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הכותרת</w:t>
                        </w:r>
                      </w:p>
                      <w:p w:rsidR="00EB6F1B" w:rsidRPr="00344C89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פרק שני</w:t>
                        </w:r>
                      </w:p>
                    </w:tc>
                  </w:tr>
                  <w:tr w:rsidR="00EB6F1B" w:rsidRPr="00344C89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EB6F1B" w:rsidRPr="00344C89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סעיפים 3 ו-4 לחוק העיקרי - בטלים.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EB6F1B" w:rsidRPr="00344C89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ו-4</w:t>
                        </w:r>
                      </w:p>
                    </w:tc>
                  </w:tr>
                  <w:tr w:rsidR="00EB6F1B" w:rsidRPr="00344C89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EB6F1B" w:rsidRPr="00344C89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5 לחוק העיקרי, במקום "50%" יבוא "10%".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EB6F1B" w:rsidRPr="00344C89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EB6F1B" w:rsidRPr="00344C89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6 לחוק העיקרי, במקום "התשלומים האמורים בסעיפים 4 או 5" יבוא "התג-</w:t>
                        </w:r>
                      </w:p>
                      <w:p w:rsidR="00EB6F1B" w:rsidRPr="00344C89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מולים לפי סעיף 5".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EB6F1B" w:rsidRPr="00344C89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EB6F1B" w:rsidRPr="00344C89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EB6F1B" w:rsidRPr="00344C89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7א לחוק העיקרי יבוא:</w:t>
                        </w:r>
                      </w:p>
                    </w:tc>
                    <w:tc>
                      <w:tcPr>
                        <w:tcW w:w="844" w:type="pct"/>
                      </w:tcPr>
                      <w:p w:rsidR="00EB6F1B" w:rsidRPr="00344C89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7א</w:t>
                        </w:r>
                      </w:p>
                    </w:tc>
                  </w:tr>
                  <w:tr w:rsidR="00EB6F1B">
                    <w:trPr>
                      <w:jc w:val="right"/>
                    </w:trPr>
                    <w:tc>
                      <w:tcPr>
                        <w:tcW w:w="3416" w:type="pct"/>
                      </w:tcPr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לנכה המקבל תגמולים לפי סעיף 5 ואינו זכאי לתגמולים לפי סעיף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תשולם מיום הגיעו לגיל 65, בגבר, או לגיל 60, באשה, תוספת של 10%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מתגמוליו ולא יחול עליו סעיף 6."</w:t>
                        </w:r>
                      </w:p>
                    </w:tc>
                    <w:tc>
                      <w:tcPr>
                        <w:tcW w:w="740" w:type="pct"/>
                      </w:tcPr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לנכים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שהגיעו לגיל</w:t>
                        </w:r>
                      </w:p>
                      <w:p w:rsidR="00EB6F1B" w:rsidRPr="00344C89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</w:t>
                        </w:r>
                      </w:p>
                    </w:tc>
                    <w:tc>
                      <w:tcPr>
                        <w:tcW w:w="844" w:type="pct"/>
                      </w:tcPr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B6F1B" w:rsidRPr="00344C89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בסעיף 18 לחוק העיקרי, בגוף הסעיף ובכותרת השוליים יימחקו המלים "ודמי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נכות".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18 לחוק העיקרי יסומן (א), ואחריו יבוא: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חל בהרכב משפחתו של בכה שינוי המזכהו בהגדלת תגמוליו,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הוא להודיע על כך לקצין התגמולים תוך שבתיים מיום השינוי;</w:t>
                        </w:r>
                      </w:p>
                      <w:p w:rsidR="00EB6F1B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 לאחר שנתיים מיום השינוי, יהא זכאי להגדלת תגמוליו רק מתאריך</w:t>
                        </w:r>
                      </w:p>
                      <w:p w:rsidR="00EB6F1B" w:rsidRPr="00344C89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ההודעה.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EB6F1B" w:rsidRPr="00344C89" w:rsidRDefault="00EB6F1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</w:tbl>
                <w:p w:rsidR="00EB6F1B" w:rsidRDefault="00EB6F1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586" o:spid="_x0000_s1028" type="#_x0000_t202" style="position:absolute;left:0;text-align:left;margin-left:113.2pt;margin-top:73pt;width:331.45pt;height:27.5pt;z-index:1;mso-wrap-style:none;mso-position-horizontal-relative:page;mso-position-vertical-relative:page" stroked="f">
            <v:textbox style="mso-next-textbox:#_x0000_s33586" inset="0,0,0,0">
              <w:txbxContent>
                <w:p w:rsidR="00EB6F1B" w:rsidRPr="00344C89" w:rsidRDefault="00EB6F1B">
                  <w:pPr>
                    <w:pStyle w:val="OCRStyle1"/>
                    <w:ind w:left="27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הנכים (תגמולים ושיקום) (תיקון מס' 5), תשכ"ח-1968 *</w:t>
                  </w:r>
                </w:p>
              </w:txbxContent>
            </v:textbox>
            <w10:wrap anchorx="page" anchory="page"/>
          </v:shape>
        </w:pict>
      </w:r>
    </w:p>
    <w:p w:rsidR="0084015F" w:rsidRDefault="0084015F">
      <w:pPr>
        <w:rPr>
          <w:rtl/>
        </w:rPr>
      </w:pPr>
      <w:r>
        <w:rPr>
          <w:rtl/>
        </w:rPr>
        <w:br w:type="page"/>
      </w:r>
    </w:p>
    <w:p w:rsidR="0084015F" w:rsidRDefault="00000000">
      <w:pPr>
        <w:rPr>
          <w:rtl/>
        </w:rPr>
      </w:pPr>
      <w:r>
        <w:pict>
          <v:shape id="_x0000_s3358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587" inset="0,0,0,0">
              <w:txbxContent>
                <w:p w:rsidR="00EB6F1B" w:rsidRDefault="00EB6F1B">
                  <w:r>
                    <w:rPr>
                      <w:rtl/>
                    </w:rPr>
                    <w:t>169                                          ספר החוקים 534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88" o:spid="_x0000_s1030" type="#_x0000_t202" style="position:absolute;left:0;text-align:left;margin-left:380.85pt;margin-top:718pt;width:165.15pt;height:21.4pt;z-index:6;mso-wrap-style:none;mso-position-horizontal-relative:page;mso-position-vertical-relative:page" stroked="f">
            <v:textbox style="mso-next-textbox:#_x0000_s33588" inset="0,0,0,0">
              <w:txbxContent>
                <w:p w:rsidR="00EB6F1B" w:rsidRDefault="00EB6F1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589" o:spid="_x0000_s1031" type="#_x0000_t202" style="position:absolute;left:0;text-align:left;margin-left:103.65pt;margin-top:75.7pt;width:444.9pt;height:630.25pt;z-index:5;mso-wrap-style:none;mso-position-horizontal-relative:page;mso-position-vertical-relative:page" stroked="f">
            <v:textbox style="mso-next-textbox:#_x0000_s33589" inset="0,0,0,0">
              <w:txbxContent>
                <w:tbl>
                  <w:tblPr>
                    <w:tblW w:w="47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2"/>
                    <w:gridCol w:w="6988"/>
                  </w:tblGrid>
                  <w:tr w:rsidR="00EB6F1B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9" w:type="pct"/>
                      </w:tcPr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קצין תגמולים רשאי לדרוש מנכה להגיש לו אחת לשנה</w:t>
                        </w:r>
                      </w:p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על הרכב משפחתו ועל פרטים אחרים העשויים להשפיע על התג-</w:t>
                        </w:r>
                      </w:p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מולים שהוא זכאי להם לפי חוק זה; לא נענה הנכה לדרישה תוך ששים</w:t>
                        </w:r>
                      </w:p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מסירתה, רשאי קצין התגמולים להורות כי ישולמו לנכה עד</w:t>
                        </w:r>
                      </w:p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למסירת ההצהרה על פרט פלוני תגמולים המחושבים כאילו אותו פרט</w:t>
                        </w:r>
                      </w:p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משפיע על שיעור תגמוליו."</w:t>
                        </w:r>
                      </w:p>
                    </w:tc>
                  </w:tr>
                  <w:tr w:rsidR="00EB6F1B" w:rsidRPr="0084015F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22(א) לחוק העיקרי, פסקה (1) - בטלה, והסימן (2) שבתחילת פסקה (2) יימחק.</w:t>
                        </w:r>
                      </w:p>
                    </w:tc>
                  </w:tr>
                  <w:tr w:rsidR="00EB6F1B" w:rsidRPr="0084015F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24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מעיף 24 לחוק העיקרי - בטל.</w:t>
                        </w:r>
                      </w:p>
                    </w:tc>
                  </w:tr>
                  <w:tr w:rsidR="00EB6F1B" w:rsidRPr="0084015F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30(א) לחוק העיקרי, יימחקו המלים "הענקה או'/</w:t>
                        </w:r>
                      </w:p>
                    </w:tc>
                  </w:tr>
                  <w:tr w:rsidR="00EB6F1B" w:rsidRPr="0084015F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31 לחוק העיקרי, בסעיף קטן (ב) ובסעיף קטן (ג), תימחק המלה "להענקה".</w:t>
                        </w:r>
                      </w:p>
                    </w:tc>
                  </w:tr>
                  <w:tr w:rsidR="00EB6F1B" w:rsidRPr="0084015F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31א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31א (א) לחוק העיקרי, יימחקו המלים "הענקה או".</w:t>
                        </w:r>
                      </w:p>
                    </w:tc>
                  </w:tr>
                  <w:tr w:rsidR="00EB6F1B" w:rsidRPr="0084015F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33(ב) לחוק העיקרי, במקום "בשני העתקים" יבוא "בארבעה עותקים".</w:t>
                        </w:r>
                      </w:p>
                    </w:tc>
                  </w:tr>
                  <w:tr w:rsidR="00EB6F1B" w:rsidRPr="0084015F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36(א) לחוק העיקרי, ברישה, יימחקו המלים "להענקה או", ובפסקה (1) יימחקו</w:t>
                        </w:r>
                      </w:p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"בהענקה או" ובמקום "והענקה או תגמולים" יבוא "ותגמולים".</w:t>
                        </w:r>
                      </w:p>
                    </w:tc>
                  </w:tr>
                  <w:tr w:rsidR="00EB6F1B" w:rsidRPr="0084015F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37(א) לחוק העיקרי, בסופו, יבוא:</w:t>
                        </w:r>
                      </w:p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אם היה לקצין התגמולים יסוד להניח כי חל שינוי בדרגת נכותו</w:t>
                        </w:r>
                      </w:p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נכה, רשאי הוא להורות על בדיקתו מחדש של הנכה בכל עת לאחר</w:t>
                        </w:r>
                      </w:p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שחלפה חצי שנה מיום הבדיקה האחרונה."</w:t>
                        </w:r>
                      </w:p>
                    </w:tc>
                  </w:tr>
                  <w:tr w:rsidR="00EB6F1B" w:rsidRPr="0084015F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סעיף 38 לחוק העיקרי - בטלן אולם לגבי מי שסעיף 38 (ג) חל עליו ערב תחילתו של</w:t>
                        </w:r>
                      </w:p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יחול הסעיף כאילו לא בוטל.</w:t>
                        </w:r>
                      </w:p>
                    </w:tc>
                  </w:tr>
                  <w:tr w:rsidR="00EB6F1B" w:rsidRPr="0084015F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46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סעיף 46 לחוק העיקרי - בטל.</w:t>
                        </w:r>
                      </w:p>
                    </w:tc>
                  </w:tr>
                  <w:tr w:rsidR="00EB6F1B" w:rsidRPr="0084015F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נכה שנתמלאו בו אלה:</w:t>
                        </w:r>
                      </w:p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לזכאי לתגמולים עם פרסומו של חוק זה;</w:t>
                        </w:r>
                      </w:p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קיבל לפני פרסומו של חוק זה הענקה או הענקות לפי סעיף 3 לחוק העיקרי;</w:t>
                        </w:r>
                      </w:p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סך כל ההענקות שקיבל הנכה לפני פרסומו של חוק זה עלה על תגמוליו</w:t>
                        </w:r>
                      </w:p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המשוערים -</w:t>
                        </w:r>
                      </w:p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ינוכה העודף מתגמוליו אלה בשיעורים חדשיים שלא יעלו על מחצית תגמולו החדשי.</w:t>
                        </w:r>
                      </w:p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"תגמולים משוערים" - תגמולים שהיו משתלמים במועד פלוני</w:t>
                        </w:r>
                      </w:p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לנכה לפי סעיף 5 לחוק העיקרי, אילו היה הסעיף בתוקף כנוסחו לפי חוק זה באותו מועד;</w:t>
                        </w:r>
                      </w:p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רואים את התגמולים המשוערים כמגיעים החל מהמועד לתחילת תשלומם של</w:t>
                        </w:r>
                      </w:p>
                      <w:p w:rsidR="00EB6F1B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תגמולים, כאמור בסעיף 18 לחוק העיקרי, כאילו במקום המועד להגשת התביעה לתגמולים</w:t>
                        </w:r>
                      </w:p>
                      <w:p w:rsidR="00EB6F1B" w:rsidRPr="0084015F" w:rsidRDefault="00EB6F1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 המועד של הגשת הבקשה להענקה.</w:t>
                        </w:r>
                      </w:p>
                    </w:tc>
                  </w:tr>
                </w:tbl>
                <w:p w:rsidR="00EB6F1B" w:rsidRDefault="00EB6F1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B6F1B" w:rsidRDefault="00EB6F1B">
      <w:pPr>
        <w:rPr>
          <w:rtl/>
        </w:rPr>
      </w:pPr>
      <w:r>
        <w:rPr>
          <w:rtl/>
        </w:rPr>
        <w:br w:type="page"/>
      </w:r>
    </w:p>
    <w:p w:rsidR="00EB6F1B" w:rsidRDefault="00000000">
      <w:pPr>
        <w:rPr>
          <w:rtl/>
        </w:rPr>
      </w:pPr>
      <w:r>
        <w:pict>
          <v:shape id="_x0000_s33590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3590" inset="0,0,0,0">
              <w:txbxContent>
                <w:p w:rsidR="00EB6F1B" w:rsidRDefault="00EB6F1B">
                  <w:r>
                    <w:rPr>
                      <w:rtl/>
                    </w:rPr>
                    <w:t>170                                          ספר החוקים 534                    ט"ו באב התשכ"ח 09.08.1968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91" o:spid="_x0000_s1033" type="#_x0000_t202" style="position:absolute;left:0;text-align:left;margin-left:128.25pt;margin-top:185.85pt;width:68.9pt;height:42.15pt;z-index:11;mso-wrap-style:none;mso-position-horizontal-relative:page;mso-position-vertical-relative:page" stroked="f">
            <v:textbox style="mso-next-textbox:#_x0000_s33591" inset="0,0,0,0">
              <w:txbxContent>
                <w:p w:rsidR="00EB6F1B" w:rsidRDefault="00EB6F1B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EB6F1B" w:rsidRDefault="00EB6F1B">
                  <w:pPr>
                    <w:pStyle w:val="OCRStyle3"/>
                    <w:ind w:left="23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92" o:spid="_x0000_s1034" type="#_x0000_t202" style="position:absolute;left:0;text-align:left;margin-left:234pt;margin-top:184.1pt;width:93.05pt;height:38.8pt;z-index:10;mso-wrap-style:none;mso-position-horizontal-relative:page;mso-position-vertical-relative:page" stroked="f">
            <v:textbox style="mso-next-textbox:#_x0000_s33592" inset="0,0,0,0">
              <w:txbxContent>
                <w:p w:rsidR="00EB6F1B" w:rsidRDefault="00EB6F1B">
                  <w:pPr>
                    <w:pStyle w:val="OCRStyle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B6F1B" w:rsidRDefault="00EB6F1B">
                  <w:pPr>
                    <w:pStyle w:val="OCRStyle3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93" o:spid="_x0000_s1035" type="#_x0000_t202" style="position:absolute;left:0;text-align:left;margin-left:351.2pt;margin-top:216.75pt;width:126.5pt;height:34.45pt;z-index:9;mso-wrap-style:none;mso-position-horizontal-relative:page;mso-position-vertical-relative:page" stroked="f">
            <v:textbox style="mso-next-textbox:#_x0000_s33593" inset="0,0,0,0">
              <w:txbxContent>
                <w:p w:rsidR="00EB6F1B" w:rsidRDefault="00EB6F1B">
                  <w:pPr>
                    <w:pStyle w:val="OCRStyle3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B6F1B" w:rsidRDefault="00EB6F1B">
                  <w:pPr>
                    <w:pStyle w:val="OCRStyle3"/>
                    <w:ind w:left="6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94" o:spid="_x0000_s1036" type="#_x0000_t202" style="position:absolute;left:0;text-align:left;margin-left:79.15pt;margin-top:71.25pt;width:464.9pt;height:111.1pt;z-index:8;mso-wrap-style:none;mso-position-horizontal-relative:page;mso-position-vertical-relative:page" stroked="f">
            <v:textbox style="mso-next-textbox:#_x0000_s33594" inset="0,0,0,0">
              <w:txbxContent>
                <w:tbl>
                  <w:tblPr>
                    <w:tblW w:w="49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7"/>
                    <w:gridCol w:w="1004"/>
                  </w:tblGrid>
                  <w:tr w:rsidR="00EB6F1B">
                    <w:trPr>
                      <w:jc w:val="right"/>
                    </w:trPr>
                    <w:tc>
                      <w:tcPr>
                        <w:tcW w:w="4406" w:type="pct"/>
                      </w:tcPr>
                      <w:p w:rsidR="00EB6F1B" w:rsidRDefault="00EB6F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שהיה זכאי להענקה לפי סעיף 3 לחוק העיקרי ולא קיבל אותה עד יום פרסו-</w:t>
                        </w:r>
                      </w:p>
                      <w:p w:rsidR="00EB6F1B" w:rsidRDefault="00EB6F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 של חוק זה, שוב לא יהיה זכאי להענקה כאמור ויהיה זכאי לתגמולים לפי סעיף 5 כנוסחו</w:t>
                        </w:r>
                      </w:p>
                      <w:p w:rsidR="00EB6F1B" w:rsidRDefault="00EB6F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מן המועד לתחילת תשלומם של תגמולים, כאמור בסעיף 18 לחוק העיקרי,</w:t>
                        </w:r>
                      </w:p>
                      <w:p w:rsidR="00EB6F1B" w:rsidRDefault="00EB6F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ויראו את הבקשה להענקה כאילו היתה בקשה לתגמולים.</w:t>
                        </w:r>
                      </w:p>
                    </w:tc>
                    <w:tc>
                      <w:tcPr>
                        <w:tcW w:w="594" w:type="pct"/>
                      </w:tcPr>
                      <w:p w:rsidR="00EB6F1B" w:rsidRDefault="00EB6F1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B6F1B" w:rsidRPr="00EB6F1B">
                    <w:trPr>
                      <w:jc w:val="right"/>
                    </w:trPr>
                    <w:tc>
                      <w:tcPr>
                        <w:tcW w:w="4406" w:type="pct"/>
                      </w:tcPr>
                      <w:p w:rsidR="00EB6F1B" w:rsidRDefault="00EB6F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תחילתו של חוק זה ביום ג' בניסן תשכ"ח (1 באפריל 1968), אולם סעיף 2 תחילתו</w:t>
                        </w:r>
                      </w:p>
                      <w:p w:rsidR="00EB6F1B" w:rsidRDefault="00EB6F1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כ"ה באדר ב' תשכ"ה (1 באפריל 1965).</w:t>
                        </w:r>
                      </w:p>
                    </w:tc>
                    <w:tc>
                      <w:tcPr>
                        <w:tcW w:w="594" w:type="pct"/>
                      </w:tcPr>
                      <w:p w:rsidR="00EB6F1B" w:rsidRPr="00EB6F1B" w:rsidRDefault="00EB6F1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B6F1B" w:rsidRDefault="00EB6F1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44C8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0B3633-7750-4621-AAD6-B4365F62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44C8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4015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B6F1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2008-04-09T14:29:00Z</dcterms:created>
  <dcterms:modified xsi:type="dcterms:W3CDTF">2008-04-09T14:29:00Z</dcterms:modified>
</cp:coreProperties>
</file>