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6FE1" w:rsidRDefault="008F6FE1">
      <w:pPr>
        <w:rPr>
          <w:rtl/>
        </w:rPr>
      </w:pPr>
    </w:p>
    <w:p w:rsidR="008F6F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6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615" inset="0,0,0,0">
              <w:txbxContent>
                <w:p w:rsidR="008F6FE1" w:rsidRDefault="008F6FE1">
                  <w:r>
                    <w:rPr>
                      <w:rtl/>
                    </w:rPr>
                    <w:t>6                                            ספר החוקים 437                 כ"ו בכסליו התשכ"ה 01.12.1964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6" o:spid="_x0000_s1026" type="#_x0000_t202" style="position:absolute;left:0;text-align:left;margin-left:87.85pt;margin-top:620.85pt;width:387.7pt;height:123.75pt;z-index:6;mso-position-horizontal-relative:page;mso-position-vertical-relative:page" stroked="f">
            <v:textbox style="mso-next-textbox:#_x0000_s33616" inset="0,0,0,0">
              <w:txbxContent>
                <w:p w:rsidR="008F6FE1" w:rsidRDefault="008F6FE1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בכסלו תשכ"ה (23 בנובמבר 1964); הצעת החוק ודברי הסבר פורסמו בחיה 592, תשכ"ד,</w:t>
                  </w:r>
                </w:p>
                <w:p w:rsidR="008F6FE1" w:rsidRDefault="008F6FE1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61.</w:t>
                  </w:r>
                </w:p>
                <w:p w:rsidR="008F6FE1" w:rsidRDefault="008F6FE1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285, תשי"ט, עמ' 276; ס"ח 345, תשכ"א, עמ' 156.</w:t>
                  </w:r>
                </w:p>
                <w:p w:rsidR="008F6FE1" w:rsidRPr="008F6FE1" w:rsidRDefault="008F6FE1">
                  <w:pPr>
                    <w:pStyle w:val="OCRStyle1"/>
                    <w:ind w:left="4298"/>
                    <w:rPr>
                      <w:sz w:val="20"/>
                      <w:szCs w:val="20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7" o:spid="_x0000_s1027" type="#_x0000_t202" style="position:absolute;left:0;text-align:left;margin-left:114.75pt;margin-top:443.85pt;width:91.1pt;height:32.1pt;z-index:5;mso-position-horizontal-relative:page;mso-position-vertical-relative:page" stroked="f">
            <v:textbox style="mso-next-textbox:#_x0000_s33617" inset="0,0,0,0">
              <w:txbxContent>
                <w:p w:rsidR="008F6FE1" w:rsidRDefault="008F6FE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F6FE1" w:rsidRDefault="008F6FE1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8" o:spid="_x0000_s1028" type="#_x0000_t202" style="position:absolute;left:0;text-align:left;margin-left:232.8pt;margin-top:441.45pt;width:100.2pt;height:37.05pt;z-index:4;mso-position-horizontal-relative:page;mso-position-vertical-relative:page" stroked="f">
            <v:textbox style="mso-next-textbox:#_x0000_s33618" inset="0,0,0,0">
              <w:txbxContent>
                <w:p w:rsidR="008F6FE1" w:rsidRDefault="008F6FE1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F6FE1" w:rsidRDefault="008F6FE1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9" o:spid="_x0000_s1029" type="#_x0000_t202" style="position:absolute;left:0;text-align:left;margin-left:349pt;margin-top:467.4pt;width:140pt;height:43.95pt;z-index:3;mso-position-horizontal-relative:page;mso-position-vertical-relative:page" stroked="f">
            <v:textbox style="mso-next-textbox:#_x0000_s33619" inset="0,0,0,0">
              <w:txbxContent>
                <w:p w:rsidR="008F6FE1" w:rsidRDefault="008F6FE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F6FE1" w:rsidRDefault="008F6FE1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20" o:spid="_x0000_s1030" type="#_x0000_t202" style="position:absolute;left:0;text-align:left;margin-left:85.25pt;margin-top:113.6pt;width:474.4pt;height:313.45pt;z-index:2;mso-position-horizontal-relative:page;mso-position-vertical-relative:page" stroked="f">
            <v:textbox style="mso-next-textbox:#_x0000_s3362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7"/>
                    <w:gridCol w:w="1235"/>
                    <w:gridCol w:w="1465"/>
                  </w:tblGrid>
                  <w:tr w:rsidR="008F6FE1" w:rsidRPr="008F6FE1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8F6FE1" w:rsidRP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 .אחרי סעיף 32 לחוק הנכים (תגמולים ושיקום), תשי"ט-1959 [נוסח משולב]*, יבוא: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F6FE1" w:rsidRPr="008F6FE1" w:rsidRDefault="008F6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32א</w:t>
                        </w:r>
                      </w:p>
                    </w:tc>
                  </w:tr>
                  <w:tr w:rsidR="008F6FE1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8F6FE1" w:rsidRDefault="008F6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32א. קצין תגמולים רשאי להאריך את המועד להגשת בקשה לסי סעיף 30,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כסעיף 32 (א), אם הוא סכור כי מן הצדק לעשות זאת וכי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תנאים אלה: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הבקשה מתייחסת לנכות שנגרמה על ידי חבלה רשומה;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ההשהיה כהגשת הבקשה אינה עשויה להקשות כמידה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ניכרת על השגת הראיות הדרושות לבירור הבקשה;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ההשהיה לא הביאה, ולא היתה עשויה להביא, במישרין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להחמרת הנכות שלגביה מוגשת הבקשה, או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להגדלה ניכרת של הנטל שעל אוצר המדינה בתשלום התג-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או כמתן טובת הנאה אחרת עקב החמרת הנכות;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ההשהיה לא תקשה על המדינה לממש את זכויותיה לגבי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צד שלישי האחראי או עשוי להיות אחראי, במישרין או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לחבלה, נושא הבקשה.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"חבלה רשומה" - חבלה שנרשמה, סמוך ליום האירוע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שגרם לה, ברשומות של צבא-הגנה לישראל או ברשומות אחרות המת-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נהלות על ידי המדינה או על ידי מוסד ציבורי שאושר לענין זה על ידי</w:t>
                        </w:r>
                      </w:p>
                      <w:p w:rsidR="008F6FE1" w:rsidRP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"הארכת מועד</w:t>
                        </w:r>
                      </w:p>
                      <w:p w:rsidR="008F6FE1" w:rsidRDefault="008F6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בחבלה</w:t>
                        </w:r>
                      </w:p>
                      <w:p w:rsidR="008F6FE1" w:rsidRPr="008F6FE1" w:rsidRDefault="008F6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רשומה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F6FE1" w:rsidRPr="008F6FE1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8F6FE1" w:rsidRPr="008F6FE1" w:rsidRDefault="008F6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חל גם על מקרים שבהם מועד ההתיישנות עבר לפני פרסומו.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F6FE1" w:rsidRPr="008F6FE1" w:rsidRDefault="008F6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8F6FE1" w:rsidRDefault="008F6F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21" o:spid="_x0000_s1031" type="#_x0000_t202" style="position:absolute;left:0;text-align:left;margin-left:111.4pt;margin-top:74.8pt;width:342.95pt;height:32.85pt;z-index:1;mso-position-horizontal-relative:page;mso-position-vertical-relative:page" stroked="f">
            <v:textbox style="mso-next-textbox:#_x0000_s33621" inset="0,0,0,0">
              <w:txbxContent>
                <w:p w:rsidR="008F6FE1" w:rsidRPr="008F6FE1" w:rsidRDefault="008F6FE1">
                  <w:pPr>
                    <w:pStyle w:val="OCRStyle1"/>
                    <w:ind w:left="18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הנכים (תגמולים ושיקום) (תיקון מס' 2), תשכ"ה-1964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F6F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D3D9D8-E275-4A8D-BEE7-B63F48C4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6FE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2008-04-09T14:17:00Z</dcterms:created>
  <dcterms:modified xsi:type="dcterms:W3CDTF">2008-04-09T14:17:00Z</dcterms:modified>
</cp:coreProperties>
</file>