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6024" w:rsidRDefault="00166024">
      <w:pPr>
        <w:rPr>
          <w:rtl/>
        </w:rPr>
      </w:pPr>
    </w:p>
    <w:p w:rsidR="001660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36" inset="0,0,0,0">
              <w:txbxContent>
                <w:p w:rsidR="007F3DE2" w:rsidRDefault="007F3DE2">
                  <w:r>
                    <w:rPr>
                      <w:rtl/>
                    </w:rPr>
                    <w:t>2                                            ספר החוקים 985                   י' בחשון התשמ"א 20.10.1980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7" o:spid="_x0000_s1026" type="#_x0000_t202" style="position:absolute;left:0;text-align:left;margin-left:82.55pt;margin-top:655.85pt;width:387.3pt;height:81.75pt;z-index:3;mso-position-horizontal-relative:page;mso-position-vertical-relative:page" stroked="f">
            <v:textbox style="mso-next-textbox:#_x0000_s33737" inset="0,0,0,0">
              <w:txbxContent>
                <w:p w:rsidR="007F3DE2" w:rsidRDefault="007F3DE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בחשון התשמ"א (14 באוקטובר 1980); הצעת החוק ודברי הסבר פורסמו בה"ח 1470,</w:t>
                  </w:r>
                </w:p>
                <w:p w:rsidR="007F3DE2" w:rsidRDefault="007F3DE2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עמי 321.</w:t>
                  </w:r>
                </w:p>
                <w:p w:rsidR="007F3DE2" w:rsidRDefault="007F3DE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התשי"ז, עמ' 103; התש"ך, עמ' 88; התשכ"ט, עמ' 90; התשל"ג, עמ' 240; התשל"ז, עמ' 30; התשל"ח, עמ' 212;</w:t>
                  </w:r>
                </w:p>
                <w:p w:rsidR="007F3DE2" w:rsidRPr="00166024" w:rsidRDefault="007F3DE2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התשל"ט,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8" o:spid="_x0000_s1027" type="#_x0000_t202" style="position:absolute;left:0;text-align:left;margin-left:74.85pt;margin-top:108.15pt;width:459.55pt;height:546.7pt;z-index:2;mso-position-horizontal-relative:page;mso-position-vertical-relative:page" stroked="f">
            <v:textbox style="mso-next-textbox:#_x0000_s337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67"/>
                  </w:tblGrid>
                  <w:tr w:rsidR="007F3DE2" w:rsidRPr="0016602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7F3DE2" w:rsidRDefault="007F3DE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נכי רדיפות הנאצים, התשי"ז-1957 1(להלן - החוק העיקרי),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הגדרת "השכר הקובע" יבוא: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- 80% מסך כל המשכורת הנהוגה אותה שעה לגבי עובד המדינה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משכורתו היא "יד" של הדירוג האחיד ושאין משתלמת לו תוספת למשכורתו</w:t>
                        </w:r>
                      </w:p>
                      <w:p w:rsidR="007F3DE2" w:rsidRPr="00166024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בן משפחה ;".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7F3DE2" w:rsidRPr="00166024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F3DE2" w:rsidRPr="0016602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7F3DE2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4א לחוק העיקרי -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נצרך שדרגת נכותו אינה פחותה מ-50% ואין לו הכנסה נוספת,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לו, במקום התגמול שהיה משתלם לו לפי סעיף 4 אילו לא היה נצרך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התגמול העיקרי), תגמול בשיעור של 98% מסך כל המשכורת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הנהוגה אותה שעה לגבי עובד המדינה שדרגת משכורתו היא "יז" של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האחיד ושאין משתלמת לו תוספת למשכורתו בזכות בן משפחה.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בנוסף על האמור בסעיף קטן (א), נכה נצרך שדרגת נכותו אינה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מ-60%, תשולם לו תוספת לתגמוליו כמפורט להלן: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שדרגת נכותו פחותה מ-70% אך איננה פחותה מ-60%-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של 5% מן התגמול העיקרי;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פחותה מ-80% אך אינה פחותה מ-70%-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של 10% מן התגמול העיקרי;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לנכה שדרגת נכותו פחותה מ-90% אך אינה פחותה מ-80%-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של 15% מן התגמול העיקרי;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לנכה שדרגת נכותו 90% או יותר - תוספת של 20% מן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העיקרי.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לתגמולים כאמור בסעיפים קטנים (א) ו-(א1) ייקרא להלן -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לנצרך.";</w:t>
                        </w:r>
                      </w:p>
                      <w:p w:rsidR="007F3DE2" w:rsidRPr="00166024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"לתגמול נוסף" יבוא "לתגמול לנצרך".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7F3DE2" w:rsidRPr="00166024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7F3DE2" w:rsidRPr="0016602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7F3DE2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4ב לחוק העיקרי -</w:t>
                        </w:r>
                      </w:p>
                      <w:p w:rsidR="007F3DE2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"מהתגמול הנוסף" יבוא "מהתגמול לנצרך";</w:t>
                        </w:r>
                      </w:p>
                      <w:p w:rsidR="007F3DE2" w:rsidRPr="00166024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השוליים, במקום "תגמול נוסף" יבוא "תגמול לנצרך"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7F3DE2" w:rsidRPr="00166024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4ב</w:t>
                        </w:r>
                      </w:p>
                    </w:tc>
                  </w:tr>
                  <w:tr w:rsidR="007F3DE2" w:rsidRPr="0016602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7F3DE2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בסעיף 4ג לחוק העיקרי, במקום "תגמול נוסף", פעמיים, יבוא "תגמול לנצרך",</w:t>
                        </w:r>
                      </w:p>
                      <w:p w:rsidR="007F3DE2" w:rsidRPr="00166024" w:rsidRDefault="007F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"לתגמול הנוסף" יבוא "לתגמול לנצרך".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7F3DE2" w:rsidRPr="00166024" w:rsidRDefault="007F3D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4ג</w:t>
                        </w:r>
                      </w:p>
                    </w:tc>
                  </w:tr>
                </w:tbl>
                <w:p w:rsidR="007F3DE2" w:rsidRDefault="007F3D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39" o:spid="_x0000_s1028" type="#_x0000_t202" style="position:absolute;left:0;text-align:left;margin-left:117.8pt;margin-top:74.7pt;width:303.15pt;height:25.75pt;z-index:1;mso-position-horizontal-relative:page;mso-position-vertical-relative:page" stroked="f">
            <v:textbox style="mso-next-textbox:#_x0000_s33739" inset="0,0,0,0">
              <w:txbxContent>
                <w:p w:rsidR="007F3DE2" w:rsidRPr="00166024" w:rsidRDefault="007F3DE2">
                  <w:pPr>
                    <w:pStyle w:val="OCRStyle1"/>
                    <w:ind w:left="36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רדיפות הנאצים (תיקון מס' 7), התשמ"א-1980 *</w:t>
                  </w:r>
                </w:p>
              </w:txbxContent>
            </v:textbox>
            <w10:wrap anchorx="page" anchory="page"/>
          </v:shape>
        </w:pict>
      </w:r>
    </w:p>
    <w:p w:rsidR="007F3DE2" w:rsidRDefault="007F3DE2">
      <w:pPr>
        <w:rPr>
          <w:rtl/>
        </w:rPr>
      </w:pPr>
      <w:r>
        <w:rPr>
          <w:rtl/>
        </w:rPr>
        <w:br w:type="page"/>
      </w:r>
    </w:p>
    <w:p w:rsidR="007F3DE2" w:rsidRDefault="00000000">
      <w:pPr>
        <w:rPr>
          <w:rtl/>
        </w:rPr>
      </w:pPr>
      <w:r>
        <w:pict>
          <v:shape id="_x0000_s3374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740" inset="0,0,0,0">
              <w:txbxContent>
                <w:p w:rsidR="007F3DE2" w:rsidRDefault="007F3DE2">
                  <w:r>
                    <w:rPr>
                      <w:rtl/>
                    </w:rPr>
                    <w:t>3                                            ספר החוקים 985                   י' בחשון התשמ"א 20.10.1980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1" o:spid="_x0000_s1030" type="#_x0000_t202" style="position:absolute;left:0;text-align:left;margin-left:183.7pt;margin-top:294.05pt;width:90.3pt;height:30.1pt;z-index:8;mso-position-horizontal-relative:page;mso-position-vertical-relative:page" stroked="f">
            <v:textbox style="mso-next-textbox:#_x0000_s33741" inset="0,0,0,0">
              <w:txbxContent>
                <w:p w:rsidR="007F3DE2" w:rsidRDefault="007F3DE2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7F3DE2" w:rsidRDefault="007F3DE2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2" o:spid="_x0000_s1031" type="#_x0000_t202" style="position:absolute;left:0;text-align:left;margin-left:314.4pt;margin-top:290.7pt;width:79.2pt;height:37.05pt;z-index:7;mso-position-horizontal-relative:page;mso-position-vertical-relative:page" stroked="f">
            <v:textbox style="mso-next-textbox:#_x0000_s33742" inset="0,0,0,0">
              <w:txbxContent>
                <w:p w:rsidR="007F3DE2" w:rsidRDefault="007F3DE2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F3DE2" w:rsidRDefault="007F3DE2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3" o:spid="_x0000_s1032" type="#_x0000_t202" style="position:absolute;left:0;text-align:left;margin-left:442.7pt;margin-top:320.8pt;width:85.35pt;height:29.3pt;z-index:6;mso-position-horizontal-relative:page;mso-position-vertical-relative:page" stroked="f">
            <v:textbox style="mso-next-textbox:#_x0000_s33743" inset="0,0,0,0">
              <w:txbxContent>
                <w:p w:rsidR="007F3DE2" w:rsidRDefault="007F3DE2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F3DE2" w:rsidRDefault="007F3DE2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4" o:spid="_x0000_s1033" type="#_x0000_t202" style="position:absolute;left:0;text-align:left;margin-left:95pt;margin-top:72.9pt;width:463.9pt;height:214.25pt;z-index:5;mso-position-horizontal-relative:page;mso-position-vertical-relative:page" stroked="f">
            <v:textbox style="mso-next-textbox:#_x0000_s337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0"/>
                    <w:gridCol w:w="5813"/>
                    <w:gridCol w:w="1351"/>
                  </w:tblGrid>
                  <w:tr w:rsidR="007F3DE2" w:rsidRPr="007F3DE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F3DE2" w:rsidRPr="007F3DE2" w:rsidRDefault="007F3D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4ה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7F3DE2" w:rsidRP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4ד לחוק העיקרי יבוא:</w:t>
                        </w:r>
                      </w:p>
                    </w:tc>
                  </w:tr>
                  <w:tr w:rsidR="007F3DE2" w:rsidRPr="007F3DE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שר האוצר באישור ועדת הכספים של הכנסת רשאי להעלות בצו</w:t>
                        </w:r>
                      </w:p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השכר הקובע ואת שיעורי התגמול העיקרי, התגמול לנצרך</w:t>
                        </w:r>
                      </w:p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והתגמול לפי סעיף 4ד."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"העלאת שיעורי</w:t>
                        </w:r>
                      </w:p>
                      <w:p w:rsidR="007F3DE2" w:rsidRPr="007F3DE2" w:rsidRDefault="007F3D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</w:tr>
                  <w:tr w:rsidR="007F3DE2" w:rsidRPr="007F3DE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F3DE2" w:rsidRPr="007F3DE2" w:rsidRDefault="007F3D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7F3DE2" w:rsidRP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18 לחוק העיקרי, אחרי "על סמך ראיות" יבוא "חדשות".</w:t>
                        </w:r>
                      </w:p>
                    </w:tc>
                  </w:tr>
                  <w:tr w:rsidR="007F3DE2" w:rsidRPr="007F3DE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F3DE2" w:rsidRPr="007F3DE2" w:rsidRDefault="007F3D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7F3DE2" w:rsidRDefault="007F3D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תחילתם של סעיפים 1 ו-2(1) מיום ד' בניסן התשל"ט (1 באפריל 1979).</w:t>
                        </w:r>
                      </w:p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2(2), 3 ו-4 מיום כ"ח באדר בי התשל"ג (1 באפריל</w:t>
                        </w:r>
                      </w:p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1973).</w:t>
                        </w:r>
                      </w:p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6 יחול גם על החלטות הרשות המוסמכת שלגביהן נתבקשה הרשות</w:t>
                        </w:r>
                      </w:p>
                      <w:p w:rsid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להשתמש בסמכותה לפי סעיף 18 לחוק העיקרי וטרם ניתנה החלטה בבקשה</w:t>
                        </w:r>
                      </w:p>
                      <w:p w:rsidR="007F3DE2" w:rsidRPr="007F3DE2" w:rsidRDefault="007F3D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פרסומו של חוק זה.</w:t>
                        </w:r>
                      </w:p>
                    </w:tc>
                  </w:tr>
                </w:tbl>
                <w:p w:rsidR="007F3DE2" w:rsidRDefault="007F3D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60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FB9597-23DC-443F-9448-DF1A3852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602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F3DE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2008-04-07T00:26:00Z</dcterms:created>
  <dcterms:modified xsi:type="dcterms:W3CDTF">2008-04-07T00:26:00Z</dcterms:modified>
</cp:coreProperties>
</file>