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6C66" w:rsidRDefault="001C6C66">
      <w:pPr>
        <w:rPr>
          <w:rtl/>
        </w:rPr>
      </w:pPr>
    </w:p>
    <w:p w:rsidR="001C6C6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3828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3828" inset="0,0,0,0">
              <w:txbxContent>
                <w:p w:rsidR="001C6C66" w:rsidRDefault="001C6C66">
                  <w:r>
                    <w:rPr>
                      <w:rtl/>
                    </w:rPr>
                    <w:t>6                                            ספר החוקים 639                 י"ד בכסליו התשל"ב 02.12.1971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29" o:spid="_x0000_s1026" type="#_x0000_t202" style="position:absolute;left:0;text-align:left;margin-left:81.95pt;margin-top:578pt;width:371.05pt;height:190.3pt;z-index:6;mso-position-horizontal-relative:page;mso-position-vertical-relative:page" stroked="f">
            <v:textbox style="mso-next-textbox:#_x0000_s33829" inset="0,0,0,0">
              <w:txbxContent>
                <w:p w:rsidR="001C6C66" w:rsidRDefault="001C6C66">
                  <w:pPr>
                    <w:pStyle w:val="OCRStyle1"/>
                    <w:ind w:left="10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ה' בכסלו תשל"ב (23 בנובמבר 1971); הגעת החוק ודברי הסבר פורסמו בה"ח 952, תשל"א,</w:t>
                  </w:r>
                </w:p>
                <w:p w:rsidR="001C6C66" w:rsidRDefault="001C6C66">
                  <w:pPr>
                    <w:pStyle w:val="OCRStyle1"/>
                    <w:ind w:left="21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עגלי 274.</w:t>
                  </w:r>
                </w:p>
                <w:p w:rsidR="001C6C66" w:rsidRPr="001C6C66" w:rsidRDefault="001C6C66">
                  <w:pPr>
                    <w:pStyle w:val="OCRStyle1"/>
                    <w:ind w:left="1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תשל"ה עמ' 76; תשי"ז, עמ' 99; תקכ"א, עמ' 162; תשכ"ה, עמ' 299; תשכ"ט, עמי 182.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30" o:spid="_x0000_s1027" type="#_x0000_t202" style="position:absolute;left:0;text-align:left;margin-left:110.3pt;margin-top:443.75pt;width:100.8pt;height:37.8pt;z-index:5;mso-position-horizontal-relative:page;mso-position-vertical-relative:page" stroked="f">
            <v:textbox style="mso-next-textbox:#_x0000_s33830" inset="0,0,0,0">
              <w:txbxContent>
                <w:p w:rsidR="001C6C66" w:rsidRDefault="001C6C66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פנחס ספיר</w:t>
                  </w:r>
                </w:p>
                <w:p w:rsidR="001C6C66" w:rsidRDefault="001C6C66">
                  <w:pPr>
                    <w:pStyle w:val="OCRStyle1"/>
                    <w:ind w:left="59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31" o:spid="_x0000_s1028" type="#_x0000_t202" style="position:absolute;left:0;text-align:left;margin-left:228.3pt;margin-top:442.75pt;width:96.45pt;height:41.4pt;z-index:4;mso-position-horizontal-relative:page;mso-position-vertical-relative:page" stroked="f">
            <v:textbox style="mso-next-textbox:#_x0000_s33831" inset="0,0,0,0">
              <w:txbxContent>
                <w:p w:rsidR="001C6C66" w:rsidRDefault="001C6C66">
                  <w:pPr>
                    <w:pStyle w:val="OCRStyle1"/>
                    <w:ind w:left="274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1C6C66" w:rsidRDefault="001C6C66">
                  <w:pPr>
                    <w:pStyle w:val="OCRStyle1"/>
                    <w:ind w:left="40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32" o:spid="_x0000_s1029" type="#_x0000_t202" style="position:absolute;left:0;text-align:left;margin-left:341.95pt;margin-top:470.45pt;width:137.6pt;height:42.15pt;z-index:3;mso-position-horizontal-relative:page;mso-position-vertical-relative:page" stroked="f">
            <v:textbox style="mso-next-textbox:#_x0000_s33832" inset="0,0,0,0">
              <w:txbxContent>
                <w:p w:rsidR="001C6C66" w:rsidRDefault="001C6C66">
                  <w:pPr>
                    <w:pStyle w:val="OCRStyle1"/>
                    <w:ind w:left="374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1C6C66" w:rsidRDefault="001C6C66">
                  <w:pPr>
                    <w:pStyle w:val="OCRStyle1"/>
                    <w:ind w:left="82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3833" o:spid="_x0000_s1030" type="#_x0000_t202" style="position:absolute;left:0;text-align:left;margin-left:75.05pt;margin-top:149.3pt;width:468.25pt;height:265.9pt;z-index:2;mso-position-horizontal-relative:page;mso-position-vertical-relative:page" stroked="f">
            <v:textbox style="mso-next-textbox:#_x0000_s3383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84"/>
                    <w:gridCol w:w="1374"/>
                    <w:gridCol w:w="1357"/>
                  </w:tblGrid>
                  <w:tr w:rsidR="001C6C66" w:rsidRPr="001C6C66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1C6C66" w:rsidRDefault="001C6C66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נכי המלחמה בנאצים, תשי"ד-1954  1(להלן - החוק העיקרי), כהגדרת</w:t>
                        </w:r>
                      </w:p>
                      <w:p w:rsidR="001C6C66" w:rsidRPr="001C6C66" w:rsidRDefault="001C6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"השכר הקובע" במקום "ו" יבוא "ח".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C6C66" w:rsidRPr="001C6C66" w:rsidRDefault="001C6C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1C6C66" w:rsidRPr="001C6C66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1C6C66" w:rsidRPr="001C6C66" w:rsidRDefault="001C6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אחרי סעיף 13 לחוק העיקרי יבוא;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C6C66" w:rsidRPr="001C6C66" w:rsidRDefault="001C6C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13א</w:t>
                        </w:r>
                      </w:p>
                    </w:tc>
                  </w:tr>
                  <w:tr w:rsidR="001C6C66">
                    <w:trPr>
                      <w:jc w:val="right"/>
                    </w:trPr>
                    <w:tc>
                      <w:tcPr>
                        <w:tcW w:w="3396" w:type="pct"/>
                      </w:tcPr>
                      <w:p w:rsidR="001C6C66" w:rsidRDefault="001C6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13א. נפטר נכה שערב פטירתו היה נצרך, או מחוסר פרנסה כאמור</w:t>
                        </w:r>
                      </w:p>
                      <w:p w:rsidR="001C6C66" w:rsidRDefault="001C6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4ב, או שהיה אותה שעה זכאי לתגמול מיוחד או לתגמול נוסף לפי</w:t>
                        </w:r>
                      </w:p>
                      <w:p w:rsidR="001C6C66" w:rsidRDefault="001C6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על פי סעיף 24(ב)(1) במשך תקופה רצופה של שלושה חדשים</w:t>
                        </w:r>
                      </w:p>
                      <w:p w:rsidR="001C6C66" w:rsidRDefault="001C6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לפחות, יוסיפו לשלם את התגמול - בשיעור שהיה משתלם אותה שעה -</w:t>
                        </w:r>
                      </w:p>
                      <w:p w:rsidR="001C6C66" w:rsidRDefault="001C6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תום שנים עשר חדשים מסוף החודש שבו אירעה הפטירה, לידי בן</w:t>
                        </w:r>
                      </w:p>
                      <w:p w:rsidR="001C6C66" w:rsidRDefault="001C6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המשפחה שהורה עליו הנכה לפי סעיף 20, ובאין הוראה - לידי בן זוגו</w:t>
                        </w:r>
                      </w:p>
                      <w:p w:rsidR="001C6C66" w:rsidRDefault="001C6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ובאין בן זוג, לידי בן המשפחה שהורתה עליו הרשות המוסמכת.'"</w:t>
                        </w:r>
                      </w:p>
                    </w:tc>
                    <w:tc>
                      <w:tcPr>
                        <w:tcW w:w="807" w:type="pct"/>
                      </w:tcPr>
                      <w:p w:rsidR="001C6C66" w:rsidRDefault="001C6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"תגמולים אחרי</w:t>
                        </w:r>
                      </w:p>
                      <w:p w:rsidR="001C6C66" w:rsidRPr="001C6C66" w:rsidRDefault="001C6C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מסירתו של נכה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C6C66" w:rsidRDefault="001C6C6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C6C66" w:rsidRPr="001C6C66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1C6C66" w:rsidRPr="001C6C66" w:rsidRDefault="001C6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24 לחוק העיקרי יבוא: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C6C66" w:rsidRPr="001C6C66" w:rsidRDefault="001C6C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24א</w:t>
                        </w:r>
                      </w:p>
                    </w:tc>
                  </w:tr>
                  <w:tr w:rsidR="001C6C66">
                    <w:trPr>
                      <w:jc w:val="right"/>
                    </w:trPr>
                    <w:tc>
                      <w:tcPr>
                        <w:tcW w:w="3396" w:type="pct"/>
                      </w:tcPr>
                      <w:p w:rsidR="001C6C66" w:rsidRDefault="001C6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24א. נכה הזכאי לתגמולים ושנערך לזכותו ביטוח למקרה מוות כדרך</w:t>
                        </w:r>
                      </w:p>
                      <w:p w:rsidR="001C6C66" w:rsidRDefault="001C6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בסעיף 9(0, זכאי להשתתפות בדמי הביטוח מאוצר המדינה</w:t>
                        </w:r>
                      </w:p>
                      <w:p w:rsidR="001C6C66" w:rsidRDefault="001C6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בשיעור שנקבע בתקנות.'*</w:t>
                        </w:r>
                      </w:p>
                    </w:tc>
                    <w:tc>
                      <w:tcPr>
                        <w:tcW w:w="807" w:type="pct"/>
                      </w:tcPr>
                      <w:p w:rsidR="001C6C66" w:rsidRPr="001C6C66" w:rsidRDefault="001C6C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"ביטוח למקרה מוות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C6C66" w:rsidRDefault="001C6C6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1C6C66">
                    <w:trPr>
                      <w:jc w:val="right"/>
                    </w:trPr>
                    <w:tc>
                      <w:tcPr>
                        <w:tcW w:w="4203" w:type="pct"/>
                        <w:gridSpan w:val="2"/>
                      </w:tcPr>
                      <w:p w:rsidR="001C6C66" w:rsidRDefault="001C6C6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תחילתם של סעיפים 1 ו-2 היא ביום כ'*ד כאדר תש"ל (1 באפריל 0970, תחילתו של</w:t>
                        </w:r>
                      </w:p>
                      <w:p w:rsidR="001C6C66" w:rsidRPr="001C6C66" w:rsidRDefault="001C6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3 היא ביום י' באב תשל"א (1 באוגוסט 1971).</w:t>
                        </w:r>
                      </w:p>
                    </w:tc>
                    <w:tc>
                      <w:tcPr>
                        <w:tcW w:w="797" w:type="pct"/>
                      </w:tcPr>
                      <w:p w:rsidR="001C6C66" w:rsidRDefault="001C6C6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1C6C66" w:rsidRDefault="001C6C6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3834" o:spid="_x0000_s1031" type="#_x0000_t202" style="position:absolute;left:0;text-align:left;margin-left:127.5pt;margin-top:120pt;width:308.3pt;height:26.75pt;z-index:1;mso-position-horizontal-relative:page;mso-position-vertical-relative:page" stroked="f">
            <v:textbox style="mso-next-textbox:#_x0000_s33834" inset="0,0,0,0">
              <w:txbxContent>
                <w:p w:rsidR="001C6C66" w:rsidRPr="001C6C66" w:rsidRDefault="001C6C66">
                  <w:pPr>
                    <w:pStyle w:val="OCRStyle1"/>
                    <w:ind w:left="25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נכי המלחמה בנאצים (תיקון מס' 5), תשל"ב-1971 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C6C6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C6C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99F37B3-5CD8-4B92-BA70-F49A00F76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C6C6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2008-04-06T21:43:00Z</dcterms:created>
  <dcterms:modified xsi:type="dcterms:W3CDTF">2008-04-06T21:43:00Z</dcterms:modified>
</cp:coreProperties>
</file>