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0CF4" w:rsidRDefault="00D40CF4">
      <w:pPr>
        <w:rPr>
          <w:rtl/>
        </w:rPr>
      </w:pPr>
    </w:p>
    <w:p w:rsidR="00D40C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901" inset="0,0,0,0">
              <w:txbxContent>
                <w:p w:rsidR="00207C1D" w:rsidRDefault="00207C1D">
                  <w:r>
                    <w:rPr>
                      <w:rtl/>
                    </w:rPr>
                    <w:t>299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02" o:spid="_x0000_s1026" type="#_x0000_t202" style="position:absolute;left:0;text-align:left;margin-left:158.2pt;margin-top:665.55pt;width:393.45pt;height:75.25pt;z-index:3;mso-position-horizontal-relative:page;mso-position-vertical-relative:page" stroked="f">
            <v:textbox style="mso-next-textbox:#_x0000_s33902" inset="0,0,0,0">
              <w:txbxContent>
                <w:p w:rsidR="00207C1D" w:rsidRDefault="00207C1D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תשכ"ה (22 ביולי 1965); הצעת החוק ודברי הסבר פורסמו בה"ח 665, תשכיח,</w:t>
                  </w:r>
                </w:p>
                <w:p w:rsidR="00207C1D" w:rsidRDefault="00207C1D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עמ' 301.</w:t>
                  </w:r>
                </w:p>
                <w:p w:rsidR="00207C1D" w:rsidRPr="00D40CF4" w:rsidRDefault="00207C1D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1 ס"ה תשי"ד עמ' 76; ס"ח תשי"ז עמ' 99; תשכ"א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03" o:spid="_x0000_s1027" type="#_x0000_t202" style="position:absolute;left:0;text-align:left;margin-left:90.5pt;margin-top:99.05pt;width:462.9pt;height:565.7pt;z-index:2;mso-position-horizontal-relative:page;mso-position-vertical-relative:page" stroked="f">
            <v:textbox style="mso-next-textbox:#_x0000_s339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085"/>
                  </w:tblGrid>
                  <w:tr w:rsidR="00207C1D" w:rsidRPr="00D40CF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נכי המלחמה בנאצים, תשי"ד-1954  1 (להלן - החוק העיקרי), במקום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"השכר הקובע" יבוא: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הקובע'/ לגבי נכה שיש לו בן משפחה שהוא ילד - 60% מסך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המשכורת המשתלמת לעובד המדינה שדרגת משכורתו היא "ו"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הדירוג האחיד ושהרכב משפחתו הוא כמספר בני המשפחה של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הנכה' ולגבי נכה שאין לו בן משפחה שהוא ילד - 55% מסך כל</w:t>
                        </w:r>
                      </w:p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כאמור."</w:t>
                        </w:r>
                      </w:p>
                    </w:tc>
                  </w:tr>
                  <w:tr w:rsidR="00207C1D" w:rsidRPr="00D40CF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העיקרי' במקום "אינה פחותה מ-25% "יבוא "אינה פחותה מ-19%".</w:t>
                        </w:r>
                      </w:p>
                    </w:tc>
                  </w:tr>
                  <w:tr w:rsidR="00207C1D" w:rsidRPr="00D40CF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4ג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4ג לחוק העיקרי -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מ-50% והוא נצרך ויש לו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משפחה' ישולמו לו' במקום התגמולים האמורים בסעיפים 4א או 4ב,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בשיעור של סך כל המשכורת המשתלמת לעובד המדינה שדרגת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היא "ו" של הדירוג האחיד ושהרכב משפחתו הוא כמספר בני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של הנכה: נכה שדרגת נכותו אינה פחותה מ-50% והוא נצרך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משפחה' ישולמו לו' במקום התגמולים האמורים בסעיפים 4א או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4כ, תגמולים בשיעור של 90% מסך כל המשכורת המשתלמת לעובד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"ו" של הדירוג האחיד ואין לו בן משפחה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שבזכותו משתלמת לו תוספת שכר."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נכה בעל דרגת נכות מיוחדת' שנקבעה לפי כללים שפורטו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בתקנות' ישולמו לו' נוסף לתגמוליו, כל עוד הוא בעל דרגת נכות בזו-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גו) אם איננו נצרך - תוספת של 15% לתגמוליו ותגמולים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בשיעור שייקבע לפי אותם כללים:</w:t>
                        </w:r>
                      </w:p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נצרך - תגמולים מיוחדים כאמור בפסקה (1)."</w:t>
                        </w:r>
                      </w:p>
                    </w:tc>
                  </w:tr>
                  <w:tr w:rsidR="00207C1D" w:rsidRPr="00D40CF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9 לחוק העיקרי' סעיפים קטנים (ג) ו-(ד) יסומנו (ו) ו -(ז) ולפניהם יבוא;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(ב) רשאית הרשות המוסמכת לנכות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התגמול דמי חברות לטובת ארגון' שהוכרז על ידי שר האוצר כארגון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 של נכים, ותשלומים לקרן עזרה הדדית של אותו ארגון ודמי הש-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תתפות בביטוח חיים הדדי שסידר הארגון.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האוצר' באישור ועדת העבודה של הכנסת, יקבע בתקנות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המקסימלי שמותר לנכות כל חודש מתגמוליו של נכה לפי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(ג).</w:t>
                        </w:r>
                      </w:p>
                      <w:p w:rsidR="00207C1D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הודיע הנכה לרשות המוסמכת בכתב על התנגדותו לניכוי,</w:t>
                        </w:r>
                      </w:p>
                      <w:p w:rsidR="00207C1D" w:rsidRPr="00D40CF4" w:rsidRDefault="00207C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יופסק הניכוי בתום חודש מיום קבלת ההודעה."</w:t>
                        </w:r>
                      </w:p>
                    </w:tc>
                  </w:tr>
                </w:tbl>
                <w:p w:rsidR="00207C1D" w:rsidRDefault="00207C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04" o:spid="_x0000_s1028" type="#_x0000_t202" style="position:absolute;left:0;text-align:left;margin-left:200.8pt;margin-top:71.55pt;width:322.55pt;height:27.3pt;z-index:1;mso-position-horizontal-relative:page;mso-position-vertical-relative:page" stroked="f">
            <v:textbox style="mso-next-textbox:#_x0000_s33904" inset="0,0,0,0">
              <w:txbxContent>
                <w:p w:rsidR="00207C1D" w:rsidRPr="00D40CF4" w:rsidRDefault="00207C1D">
                  <w:pPr>
                    <w:pStyle w:val="OCRStyle1"/>
                    <w:ind w:left="3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המלחמה בנאצים (תיקון מס' 3), תשכ"ה-1965 *</w:t>
                  </w:r>
                </w:p>
              </w:txbxContent>
            </v:textbox>
            <w10:wrap anchorx="page" anchory="page"/>
          </v:shape>
        </w:pict>
      </w:r>
    </w:p>
    <w:p w:rsidR="00207C1D" w:rsidRDefault="00207C1D">
      <w:pPr>
        <w:rPr>
          <w:rtl/>
        </w:rPr>
      </w:pPr>
      <w:r>
        <w:rPr>
          <w:rtl/>
        </w:rPr>
        <w:br w:type="page"/>
      </w:r>
    </w:p>
    <w:p w:rsidR="00207C1D" w:rsidRDefault="00000000">
      <w:pPr>
        <w:rPr>
          <w:rtl/>
        </w:rPr>
      </w:pPr>
      <w:r>
        <w:pict>
          <v:shape id="_x0000_s3390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905" inset="0,0,0,0">
              <w:txbxContent>
                <w:p w:rsidR="00207C1D" w:rsidRDefault="00207C1D">
                  <w:r>
                    <w:rPr>
                      <w:rtl/>
                    </w:rPr>
                    <w:t>300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06" o:spid="_x0000_s1030" type="#_x0000_t202" style="position:absolute;left:0;text-align:left;margin-left:96pt;margin-top:693.35pt;width:156.2pt;height:51.9pt;z-index:9;mso-position-horizontal-relative:page;mso-position-vertical-relative:page" stroked="f">
            <v:textbox style="mso-next-textbox:#_x0000_s33906" inset="0,0,0,0">
              <w:txbxContent>
                <w:p w:rsidR="00207C1D" w:rsidRDefault="00207C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907" o:spid="_x0000_s1031" type="#_x0000_t202" style="position:absolute;left:0;text-align:left;margin-left:121.95pt;margin-top:173pt;width:99.4pt;height:38.4pt;z-index:8;mso-position-horizontal-relative:page;mso-position-vertical-relative:page" stroked="f">
            <v:textbox style="mso-next-textbox:#_x0000_s33907" inset="0,0,0,0">
              <w:txbxContent>
                <w:p w:rsidR="00207C1D" w:rsidRDefault="00207C1D">
                  <w:pPr>
                    <w:pStyle w:val="OCRStyle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07C1D" w:rsidRDefault="00207C1D">
                  <w:pPr>
                    <w:pStyle w:val="OCRStyle2"/>
                    <w:ind w:left="6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08" o:spid="_x0000_s1032" type="#_x0000_t202" style="position:absolute;left:0;text-align:left;margin-left:237.15pt;margin-top:172.25pt;width:100.2pt;height:53.45pt;z-index:7;mso-position-horizontal-relative:page;mso-position-vertical-relative:page" stroked="f">
            <v:textbox style="mso-next-textbox:#_x0000_s33908" inset="0,0,0,0">
              <w:txbxContent>
                <w:p w:rsidR="00207C1D" w:rsidRDefault="00207C1D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07C1D" w:rsidRDefault="00207C1D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09" o:spid="_x0000_s1033" type="#_x0000_t202" style="position:absolute;left:0;text-align:left;margin-left:353.2pt;margin-top:196.4pt;width:135.45pt;height:45.95pt;z-index:6;mso-position-horizontal-relative:page;mso-position-vertical-relative:page" stroked="f">
            <v:textbox style="mso-next-textbox:#_x0000_s33909" inset="0,0,0,0">
              <w:txbxContent>
                <w:p w:rsidR="00207C1D" w:rsidRDefault="00207C1D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07C1D" w:rsidRDefault="00207C1D">
                  <w:pPr>
                    <w:pStyle w:val="OCRStyle2"/>
                    <w:ind w:left="8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10" o:spid="_x0000_s1034" type="#_x0000_t202" style="position:absolute;left:0;text-align:left;margin-left:84.3pt;margin-top:69.45pt;width:477pt;height:96.8pt;z-index:5;mso-position-horizontal-relative:page;mso-position-vertical-relative:page" stroked="f">
            <v:textbox style="mso-next-textbox:#_x0000_s3391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443"/>
                  </w:tblGrid>
                  <w:tr w:rsidR="00207C1D" w:rsidRPr="00207C1D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207C1D" w:rsidRDefault="00207C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תגמולים לפי טעימים 4' 4א ו-4ב לחוק העיקרי ישולמו החל מיום י"ט בניסן</w:t>
                        </w:r>
                      </w:p>
                      <w:p w:rsidR="00207C1D" w:rsidRDefault="00207C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 (1 באפריל 1964) כאילו היו סעיפים 1 ו-3 (1) של חוק זה בתקפם אותה שעה: תחילתם</w:t>
                        </w:r>
                      </w:p>
                      <w:p w:rsidR="00207C1D" w:rsidRDefault="00207C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הסעיפים 2 ו-3 (2) מיום פרסומו של חוק זה ברשומות.</w:t>
                        </w:r>
                      </w:p>
                      <w:p w:rsidR="00207C1D" w:rsidRDefault="00207C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טובת הנאה' חדשה או מוגדלת' לפי חוק זה' לא תגיע לאדם בעד התקופה</w:t>
                        </w:r>
                      </w:p>
                      <w:p w:rsidR="00207C1D" w:rsidRDefault="00207C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התאריכים האמורים בסעיף קטן (א)' על אף האמור בסעיף 8 לחוק העיקרי.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07C1D" w:rsidRDefault="00207C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207C1D" w:rsidRPr="00207C1D" w:rsidRDefault="00207C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ותחילת</w:t>
                        </w:r>
                      </w:p>
                    </w:tc>
                  </w:tr>
                </w:tbl>
                <w:p w:rsidR="00207C1D" w:rsidRDefault="00207C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40C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08F4D3-3166-4235-BF14-17D5E017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0CF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07C1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2008-04-09T14:53:00Z</dcterms:created>
  <dcterms:modified xsi:type="dcterms:W3CDTF">2008-04-09T14:53:00Z</dcterms:modified>
</cp:coreProperties>
</file>