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6DFD" w:rsidRDefault="005A6DFD">
      <w:pPr>
        <w:rPr>
          <w:rtl/>
        </w:rPr>
      </w:pPr>
    </w:p>
    <w:p w:rsidR="005A6D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174" inset="0,0,0,0">
              <w:txbxContent>
                <w:p w:rsidR="005A6DFD" w:rsidRDefault="005A6DFD">
                  <w:r>
                    <w:rPr>
                      <w:rtl/>
                    </w:rPr>
                    <w:t>211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5" o:spid="_x0000_s1026" type="#_x0000_t202" style="position:absolute;left:0;text-align:left;margin-left:163.75pt;margin-top:442.7pt;width:378.4pt;height:42.95pt;z-index:6;mso-position-horizontal-relative:page;mso-position-vertical-relative:page" stroked="f">
            <v:textbox style="mso-next-textbox:#_x0000_s34175" inset="0,0,0,0">
              <w:txbxContent>
                <w:p w:rsidR="005A6DFD" w:rsidRDefault="005A6DF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תשל"ח (2 באוגוסט 1978); הצעת החוק ודברי הסבר פורסמו בה''ח 1359, תשל"ח,</w:t>
                  </w:r>
                </w:p>
                <w:p w:rsidR="005A6DFD" w:rsidRDefault="005A6DFD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292.</w:t>
                  </w:r>
                </w:p>
                <w:p w:rsidR="005A6DFD" w:rsidRPr="005A6DFD" w:rsidRDefault="005A6DFD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תשכ''ח, עמ' 234; תשכ"ט, עמ' 100; תשל"א, עמ' 12; תשל''ג, עמ' 142; תשל"ח, עמי 111.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6" o:spid="_x0000_s1027" type="#_x0000_t202" style="position:absolute;left:0;text-align:left;margin-left:152.05pt;margin-top:375.6pt;width:120pt;height:40.4pt;z-index:5;mso-position-horizontal-relative:page;mso-position-vertical-relative:page" stroked="f">
            <v:textbox style="mso-next-textbox:#_x0000_s34176" inset="0,0,0,0">
              <w:txbxContent>
                <w:p w:rsidR="005A6DFD" w:rsidRDefault="005A6DFD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5A6DFD" w:rsidRDefault="005A6DF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5A6DFD" w:rsidRDefault="005A6DFD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7" o:spid="_x0000_s1028" type="#_x0000_t202" style="position:absolute;left:0;text-align:left;margin-left:305.7pt;margin-top:369.05pt;width:82.95pt;height:31.9pt;z-index:4;mso-position-horizontal-relative:page;mso-position-vertical-relative:page" stroked="f">
            <v:textbox style="mso-next-textbox:#_x0000_s34177" inset="0,0,0,0">
              <w:txbxContent>
                <w:p w:rsidR="005A6DFD" w:rsidRDefault="005A6DF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A6DFD" w:rsidRDefault="005A6DF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8" o:spid="_x0000_s1029" type="#_x0000_t202" style="position:absolute;left:0;text-align:left;margin-left:455.8pt;margin-top:397.55pt;width:87.3pt;height:32.65pt;z-index:3;mso-position-horizontal-relative:page;mso-position-vertical-relative:page" stroked="f">
            <v:textbox style="mso-next-textbox:#_x0000_s34178" inset="0,0,0,0">
              <w:txbxContent>
                <w:p w:rsidR="005A6DFD" w:rsidRDefault="005A6DFD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A6DFD" w:rsidRDefault="005A6DFD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9" o:spid="_x0000_s1030" type="#_x0000_t202" style="position:absolute;left:0;text-align:left;margin-left:91.7pt;margin-top:100.55pt;width:463.9pt;height:266.7pt;z-index:2;mso-position-horizontal-relative:page;mso-position-vertical-relative:page" stroked="f">
            <v:textbox style="mso-next-textbox:#_x0000_s341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5691"/>
                    <w:gridCol w:w="1562"/>
                  </w:tblGrid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כסעיף 3 לחוק ניירות ערך, תשכ"ח-1968  1(להלן - החוק העיקרי) -</w:t>
                        </w:r>
                      </w:p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"תשעה" יבוא "אחד עשר":</w:t>
                        </w:r>
                      </w:p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"ליושב-ראש הרשות" יבוא "אחד מהם למשנה</w:t>
                        </w:r>
                      </w:p>
                      <w:p w:rsidR="005A6DFD" w:rsidRP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ראש".</w:t>
                        </w:r>
                      </w:p>
                    </w:tc>
                  </w:tr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8 (ב) לחוק העיקרי, אחרי "יושב ראש הרשות" יבוא "המשנה ליושב ראש'/</w:t>
                        </w:r>
                      </w:p>
                    </w:tc>
                  </w:tr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 (ב) לחוק העיקרי, במקום "ארבעה" יבוא "חמישה" ואחרי "היושב-ראש"</w:t>
                        </w:r>
                      </w:p>
                      <w:p w:rsidR="005A6DFD" w:rsidRP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"המשנה ליושב ראש".</w:t>
                        </w:r>
                      </w:p>
                    </w:tc>
                  </w:tr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12 לחוק העיקרי יבוא:</w:t>
                        </w:r>
                      </w:p>
                    </w:tc>
                  </w:tr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הרשות רשאית לאצול מסמכויותיה לועדה של שלושה לפחות</w:t>
                        </w:r>
                      </w:p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מכין חבריה.</w:t>
                        </w:r>
                      </w:p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רוב חברי ועדה יהיו מנין חוקי בישיבותיה."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''אצילת סמכויות</w:t>
                        </w:r>
                      </w:p>
                    </w:tc>
                  </w:tr>
                  <w:tr w:rsidR="005A6DFD" w:rsidRPr="005A6DF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A6DFD" w:rsidRP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A6DFD" w:rsidRDefault="005A6D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53 (ב) לחוק העיקרי, פסקה (5) תסומן (6) ולפניה יבוא:</w:t>
                        </w:r>
                      </w:p>
                      <w:p w:rsid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הנפיק ניירות ערך כלי שנתקיימה דרישת סעיף</w:t>
                        </w:r>
                      </w:p>
                      <w:p w:rsidR="005A6DFD" w:rsidRPr="005A6DFD" w:rsidRDefault="005A6D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 (א);".</w:t>
                        </w:r>
                      </w:p>
                    </w:tc>
                  </w:tr>
                </w:tbl>
                <w:p w:rsidR="005A6DFD" w:rsidRDefault="005A6D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80" o:spid="_x0000_s1031" type="#_x0000_t202" style="position:absolute;left:0;text-align:left;margin-left:210.85pt;margin-top:75.45pt;width:262.55pt;height:24.15pt;z-index:1;mso-position-horizontal-relative:page;mso-position-vertical-relative:page" stroked="f">
            <v:textbox style="mso-next-textbox:#_x0000_s34180" inset="0,0,0,0">
              <w:txbxContent>
                <w:p w:rsidR="005A6DFD" w:rsidRPr="005A6DFD" w:rsidRDefault="005A6DFD">
                  <w:pPr>
                    <w:pStyle w:val="OCRStyle1"/>
                    <w:ind w:left="4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ניירות ערך (תיקון מס' 5), תשל"ח--1978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6D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066DCF-14A3-4741-BF84-F455B4E5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6D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2008-04-06T23:46:00Z</dcterms:modified>
</cp:coreProperties>
</file>