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067D" w:rsidRDefault="00C9067D">
      <w:pPr>
        <w:rPr>
          <w:rtl/>
        </w:rPr>
      </w:pPr>
    </w:p>
    <w:p w:rsidR="00C906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66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266" inset="0,0,0,0">
              <w:txbxContent>
                <w:p w:rsidR="00C9067D" w:rsidRDefault="00C9067D">
                  <w:r>
                    <w:rPr>
                      <w:rtl/>
                    </w:rPr>
                    <w:t>176                                         ספר החוקים 1054                     ב' באב התשמ"ב 22.07.1982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7" o:spid="_x0000_s1026" type="#_x0000_t202" style="position:absolute;left:0;text-align:left;margin-left:98.1pt;margin-top:713.3pt;width:166.1pt;height:37.05pt;z-index:10;mso-wrap-style:none;mso-position-horizontal-relative:page;mso-position-vertical-relative:page" stroked="f">
            <v:textbox style="mso-next-textbox:#_x0000_s34267" inset="0,0,0,0">
              <w:txbxContent>
                <w:p w:rsidR="00C9067D" w:rsidRDefault="00C9067D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1054, ב' באב התשמ"ב, 22.7.1982</w:t>
                  </w:r>
                </w:p>
                <w:p w:rsidR="00C9067D" w:rsidRPr="00C9067D" w:rsidRDefault="00C9067D">
                  <w:pPr>
                    <w:pStyle w:val="OCRStyle1"/>
                    <w:ind w:left="652"/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8" o:spid="_x0000_s1027" type="#_x0000_t202" style="position:absolute;left:0;text-align:left;margin-left:395.1pt;margin-top:683.2pt;width:93.85pt;height:27.5pt;z-index:9;mso-wrap-style:none;mso-position-horizontal-relative:page;mso-position-vertical-relative:page" stroked="f">
            <v:textbox style="mso-next-textbox:#_x0000_s34268" inset="0,0,0,0">
              <w:txbxContent>
                <w:p w:rsidR="00C9067D" w:rsidRPr="00C9067D" w:rsidRDefault="00C9067D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התשמ"ב,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9" o:spid="_x0000_s1028" type="#_x0000_t202" style="position:absolute;left:0;text-align:left;margin-left:124.8pt;margin-top:630.55pt;width:91.1pt;height:32.85pt;z-index:8;mso-wrap-style:none;mso-position-horizontal-relative:page;mso-position-vertical-relative:page" stroked="f">
            <v:textbox style="mso-next-textbox:#_x0000_s34269" inset="0,0,0,0">
              <w:txbxContent>
                <w:p w:rsidR="00C9067D" w:rsidRDefault="00C9067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9067D" w:rsidRDefault="00C9067D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0" o:spid="_x0000_s1029" type="#_x0000_t202" style="position:absolute;left:0;text-align:left;margin-left:261.65pt;margin-top:630.55pt;width:102.35pt;height:49.1pt;z-index:7;mso-wrap-style:none;mso-position-horizontal-relative:page;mso-position-vertical-relative:page" stroked="f">
            <v:textbox style="mso-next-textbox:#_x0000_s34270" inset="0,0,0,0">
              <w:txbxContent>
                <w:p w:rsidR="00C9067D" w:rsidRDefault="00C9067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אליעזר קולס</w:t>
                  </w:r>
                </w:p>
                <w:p w:rsidR="00C9067D" w:rsidRDefault="00C9067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יושב ראש ועדת</w:t>
                  </w:r>
                </w:p>
                <w:p w:rsidR="00C9067D" w:rsidRDefault="00C9067D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חוקה חוק ומשפט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1" o:spid="_x0000_s1030" type="#_x0000_t202" style="position:absolute;left:0;text-align:left;margin-left:97.1pt;margin-top:362.05pt;width:423.7pt;height:257.4pt;z-index:6;mso-wrap-style:none;mso-position-horizontal-relative:page;mso-position-vertical-relative:page" stroked="f">
            <v:textbox style="mso-next-textbox:#_x0000_s34271" inset="0,0,0,0">
              <w:txbxContent>
                <w:p w:rsidR="00C9067D" w:rsidRDefault="00C9067D">
                  <w:pPr>
                    <w:pStyle w:val="OCRStyle1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* י נתקבל בכנסת ביום כ"ג בתמוז התשמ"ב (14 ביולי 1982); הצעת החוק ודברי הסבר פורסמו בה"ח 1435,</w:t>
                  </w:r>
                </w:p>
                <w:p w:rsidR="00C9067D" w:rsidRDefault="00C9067D">
                  <w:pPr>
                    <w:pStyle w:val="OCRStyle1"/>
                    <w:ind w:left="10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910 (סעיפים 11 ו-12).</w:t>
                  </w:r>
                </w:p>
                <w:p w:rsidR="00C9067D" w:rsidRDefault="00C9067D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התשל"א, עמ' 124; התשל"ז, עמ' 137; התשמ"א, עמ' 273; התשמ"ב, עמ' 159.</w:t>
                  </w:r>
                </w:p>
                <w:p w:rsidR="00C9067D" w:rsidRDefault="00C9067D">
                  <w:pPr>
                    <w:pStyle w:val="OCRStyle1"/>
                    <w:ind w:left="7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התשי"ט, עמ' .300</w:t>
                  </w:r>
                </w:p>
                <w:p w:rsidR="00C9067D" w:rsidRDefault="00C9067D">
                  <w:pPr>
                    <w:pStyle w:val="OCRStyle1"/>
                    <w:ind w:left="7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1945, תוס' 2, עמ' .855</w:t>
                  </w:r>
                </w:p>
                <w:p w:rsidR="00C9067D" w:rsidRDefault="00C9067D">
                  <w:pPr>
                    <w:pStyle w:val="OCRStyle1"/>
                    <w:ind w:left="33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 דפוס</w:t>
                  </w:r>
                </w:p>
                <w:p w:rsidR="00C9067D" w:rsidRDefault="00C9067D">
                  <w:pPr>
                    <w:pStyle w:val="OCRStyle1"/>
                    <w:ind w:left="1980"/>
                    <w:rPr>
                      <w:rtl/>
                    </w:rPr>
                  </w:pPr>
                  <w:r>
                    <w:rPr>
                      <w:rtl/>
                    </w:rPr>
                    <w:t>(לפי סעיף 16(ח) לפקודת סדרי השלטון והמשפט, התש"ח-1948)</w:t>
                  </w:r>
                </w:p>
                <w:p w:rsidR="00C9067D" w:rsidRDefault="00C9067D">
                  <w:pPr>
                    <w:pStyle w:val="OCRStyle1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בחוק סדר הדין הפלילי [נוסח משולב], התשמ"ב--11982 -</w:t>
                  </w:r>
                </w:p>
                <w:p w:rsidR="00C9067D" w:rsidRDefault="00C9067D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(א) בסעיף 7, במקום "סעיף 4" .יבוא "סעיף 6".</w:t>
                  </w:r>
                </w:p>
                <w:p w:rsidR="00C9067D" w:rsidRDefault="00C9067D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(ב) בסעיף 8, במקום "סעיפים 4 עד 6" יבוא "סעיפים 6 ו-7".</w:t>
                  </w:r>
                </w:p>
                <w:p w:rsidR="00C9067D" w:rsidRDefault="00C9067D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(ג) בסעיף 35, במקום "סעיף 116" יבוא "סעיף 117",</w:t>
                  </w:r>
                </w:p>
                <w:p w:rsidR="00C9067D" w:rsidRDefault="00C9067D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(ד) בסעיף 50 ובסעיף 66(ב)(2), במקום "בסעיף 11(א)(2)" יבוא "בסעיף 12(א)(2)".</w:t>
                  </w:r>
                </w:p>
                <w:p w:rsidR="00C9067D" w:rsidRDefault="00C9067D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(ה) בסעיף 68 ובסעיף 71, במקום "בסעיף 10" יבוא "בסעיף 11".</w:t>
                  </w:r>
                </w:p>
                <w:p w:rsidR="00C9067D" w:rsidRDefault="00C9067D">
                  <w:pPr>
                    <w:pStyle w:val="OCRStyle1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(ו) בסעיף 221(ב), במקום "250 שקלים" יבוא "2,500 שקלים" ובמקום "500 שקלים"</w:t>
                  </w:r>
                </w:p>
                <w:p w:rsidR="00C9067D" w:rsidRDefault="00C9067D">
                  <w:pPr>
                    <w:pStyle w:val="OCRStyle1"/>
                    <w:ind w:left="15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יבוא "5,000 שקלים". </w:t>
                  </w:r>
                </w:p>
                <w:p w:rsidR="00C9067D" w:rsidRPr="00C9067D" w:rsidRDefault="00C9067D">
                  <w:pPr>
                    <w:pStyle w:val="OCRStyle1"/>
                    <w:ind w:left="114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(ז) בסעיף 239, בשורה האחרונה, המלה "למשפט" - תימחק.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2" o:spid="_x0000_s1031" type="#_x0000_t202" style="position:absolute;left:0;text-align:left;margin-left:395.1pt;margin-top:315.5pt;width:102.35pt;height:38.8pt;z-index:5;mso-wrap-style:none;mso-position-horizontal-relative:page;mso-position-vertical-relative:page" stroked="f">
            <v:textbox style="mso-next-textbox:#_x0000_s34272" inset="0,0,0,0">
              <w:txbxContent>
                <w:p w:rsidR="00C9067D" w:rsidRDefault="00C9067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9067D" w:rsidRDefault="00C9067D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3" o:spid="_x0000_s1032" type="#_x0000_t202" style="position:absolute;left:0;text-align:left;margin-left:113.55pt;margin-top:282.85pt;width:104.15pt;height:31.9pt;z-index:4;mso-wrap-style:none;mso-position-horizontal-relative:page;mso-position-vertical-relative:page" stroked="f">
            <v:textbox style="mso-next-textbox:#_x0000_s34273" inset="0,0,0,0">
              <w:txbxContent>
                <w:p w:rsidR="00C9067D" w:rsidRDefault="00C9067D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C9067D" w:rsidRDefault="00C9067D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4" o:spid="_x0000_s1033" type="#_x0000_t202" style="position:absolute;left:0;text-align:left;margin-left:263.4pt;margin-top:286pt;width:80pt;height:28.3pt;z-index:3;mso-wrap-style:none;mso-position-horizontal-relative:page;mso-position-vertical-relative:page" stroked="f">
            <v:textbox style="mso-next-textbox:#_x0000_s34274" inset="0,0,0,0">
              <w:txbxContent>
                <w:p w:rsidR="00C9067D" w:rsidRDefault="00C9067D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9067D" w:rsidRDefault="00C9067D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5" o:spid="_x0000_s1034" type="#_x0000_t202" style="position:absolute;left:0;text-align:left;margin-left:89.35pt;margin-top:135.55pt;width:470.05pt;height:146.5pt;z-index:2;mso-wrap-style:none;mso-position-horizontal-relative:page;mso-position-vertical-relative:page" stroked="f">
            <v:textbox style="mso-next-textbox:#_x0000_s34275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9"/>
                    <w:gridCol w:w="1214"/>
                    <w:gridCol w:w="1224"/>
                  </w:tblGrid>
                  <w:tr w:rsidR="00C9067D" w:rsidRPr="00C9067D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C9067D" w:rsidRDefault="00C9067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45 לחוק הנוער (שפיטה, ענישה ודרכי טיפול), התשל"א-1971  1(להלן -</w:t>
                        </w:r>
                      </w:p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המלים "ועל הליכים לפי תקנות-שעת-חירום (עבירות תנועה - דין</w:t>
                        </w:r>
                      </w:p>
                      <w:p w:rsidR="00C9067D" w:rsidRP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חיילים), התש"ט-1949"2 - יימחקו.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9067D" w:rsidRPr="00C9067D" w:rsidRDefault="00C906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C9067D" w:rsidRPr="00C9067D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C9067D" w:rsidRP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45 לחוק העיקרי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9067D" w:rsidRDefault="00C906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9067D" w:rsidRPr="00C9067D" w:rsidRDefault="00C906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45א</w:t>
                        </w:r>
                      </w:p>
                    </w:tc>
                  </w:tr>
                  <w:tr w:rsidR="00C9067D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על אף האמור בחוק זה, ניתן להעמיד לדין קטין שמלאו לו</w:t>
                        </w:r>
                      </w:p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עשרה שנים לפני בית משפט צבאי לפי תקנות ההגנה (שעת-</w:t>
                        </w:r>
                      </w:p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חירום), 31945; לענין זה יחולו הוראות חוק זה למעט הוראות פרק ב'</w:t>
                        </w:r>
                      </w:p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14 ויהיו לבית המשפט הצבאי הסמכויות האמורות בפרק ה',"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על</w:t>
                        </w:r>
                      </w:p>
                      <w:p w:rsidR="00C9067D" w:rsidRPr="00C9067D" w:rsidRDefault="00C906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משפט צבאי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9067D" w:rsidRDefault="00C9067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9067D" w:rsidRDefault="00C906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76" o:spid="_x0000_s1035" type="#_x0000_t202" style="position:absolute;left:0;text-align:left;margin-left:148.75pt;margin-top:84.05pt;width:301.35pt;height:44.75pt;z-index:1;mso-wrap-style:none;mso-position-horizontal-relative:page;mso-position-vertical-relative:page" stroked="f">
            <v:textbox style="mso-next-textbox:#_x0000_s34276" inset="0,0,0,0">
              <w:txbxContent>
                <w:p w:rsidR="00C9067D" w:rsidRDefault="00C9067D">
                  <w:pPr>
                    <w:pStyle w:val="OCRStyle1"/>
                    <w:ind w:left="2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הנוער (שפיטה, ענישה ודרכי טיפול) (תיקון מטי 4),</w:t>
                  </w:r>
                </w:p>
                <w:p w:rsidR="00C9067D" w:rsidRPr="00C9067D" w:rsidRDefault="00C9067D">
                  <w:pPr>
                    <w:pStyle w:val="OCRStyle1"/>
                    <w:ind w:left="20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06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26BEB2-1FD1-4DA1-8F87-E01F6A4C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06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2008-04-07T01:10:00Z</dcterms:created>
  <dcterms:modified xsi:type="dcterms:W3CDTF">2008-04-07T01:10:00Z</dcterms:modified>
</cp:coreProperties>
</file>