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4A04" w:rsidRDefault="005A4A04">
      <w:pPr>
        <w:rPr>
          <w:rtl/>
        </w:rPr>
      </w:pPr>
    </w:p>
    <w:p w:rsidR="005A4A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329" inset="0,0,0,0">
              <w:txbxContent>
                <w:p w:rsidR="005A4A04" w:rsidRDefault="005A4A04">
                  <w:r>
                    <w:rPr>
                      <w:rtl/>
                    </w:rPr>
                    <w:t>123                                          ספר החוקים 662                     ט' באב התשל"ב 20.07.1972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0" o:spid="_x0000_s1026" type="#_x0000_t202" style="position:absolute;left:0;text-align:left;margin-left:164.65pt;margin-top:631.85pt;width:386.5pt;height:129.1pt;z-index:6;mso-position-horizontal-relative:page;mso-position-vertical-relative:page" stroked="f">
            <v:textbox style="mso-next-textbox:#_x0000_s34330" inset="0,0,0,0">
              <w:txbxContent>
                <w:p w:rsidR="005A4A04" w:rsidRDefault="005A4A04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תשל"ב (11 ביולי 1972); הצעת החוק ודברי הסבר פורסמו בה"ח 1001, תשל"ב,</w:t>
                  </w:r>
                </w:p>
                <w:p w:rsidR="005A4A04" w:rsidRDefault="005A4A04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366.</w:t>
                  </w:r>
                </w:p>
                <w:p w:rsidR="005A4A04" w:rsidRDefault="005A4A04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 ס"ח תשי"ג, עמ' 113; תש"ך, עמ' 54; תשכ"ג, עמ' 99; תשכ"ט, עמ' 177; תשל"א, עמי 146.</w:t>
                  </w:r>
                </w:p>
                <w:p w:rsidR="005A4A04" w:rsidRPr="005A4A04" w:rsidRDefault="005A4A04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2- ס"ח תשי"ג,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1" o:spid="_x0000_s1027" type="#_x0000_t202" style="position:absolute;left:0;text-align:left;margin-left:192.95pt;margin-top:517.4pt;width:85.35pt;height:36.25pt;z-index:5;mso-position-horizontal-relative:page;mso-position-vertical-relative:page" stroked="f">
            <v:textbox style="mso-next-textbox:#_x0000_s34331" inset="0,0,0,0">
              <w:txbxContent>
                <w:p w:rsidR="005A4A04" w:rsidRDefault="005A4A04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5A4A04" w:rsidRDefault="005A4A04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2" o:spid="_x0000_s1028" type="#_x0000_t202" style="position:absolute;left:0;text-align:left;margin-left:310.95pt;margin-top:518.2pt;width:84.35pt;height:36.25pt;z-index:4;mso-position-horizontal-relative:page;mso-position-vertical-relative:page" stroked="f">
            <v:textbox style="mso-next-textbox:#_x0000_s34332" inset="0,0,0,0">
              <w:txbxContent>
                <w:p w:rsidR="005A4A04" w:rsidRDefault="005A4A0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A4A04" w:rsidRDefault="005A4A04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3" o:spid="_x0000_s1029" type="#_x0000_t202" style="position:absolute;left:0;text-align:left;margin-left:427.95pt;margin-top:544.15pt;width:117.2pt;height:42.15pt;z-index:3;mso-position-horizontal-relative:page;mso-position-vertical-relative:page" stroked="f">
            <v:textbox style="mso-next-textbox:#_x0000_s34333" inset="0,0,0,0">
              <w:txbxContent>
                <w:p w:rsidR="005A4A04" w:rsidRDefault="005A4A04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A4A04" w:rsidRDefault="005A4A04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4" o:spid="_x0000_s1030" type="#_x0000_t202" style="position:absolute;left:0;text-align:left;margin-left:96.7pt;margin-top:374.45pt;width:457.95pt;height:132.65pt;z-index:2;mso-position-horizontal-relative:page;mso-position-vertical-relative:page" stroked="f">
            <v:textbox style="mso-next-textbox:#_x0000_s343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3"/>
                    <w:gridCol w:w="5518"/>
                    <w:gridCol w:w="1484"/>
                  </w:tblGrid>
                  <w:tr w:rsidR="005A4A04" w:rsidRPr="005A4A0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A4A04" w:rsidRP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5A4A04" w:rsidRP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עבודת הנוער, תשי"ג-1953  1( להלן - החוק העיקרי), אחרי סעיף 2 יבוא:</w:t>
                        </w:r>
                      </w:p>
                    </w:tc>
                  </w:tr>
                  <w:tr w:rsidR="005A4A04" w:rsidRPr="005A4A0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ילד שמלאו לו 14 שנה מותר להעבידו בתקופת חופשת</w:t>
                        </w:r>
                      </w:p>
                      <w:p w:rsid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רשמית, על אף האמור בסעיף .2</w:t>
                        </w:r>
                      </w:p>
                      <w:p w:rsid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החניכות, תשי"ג-21953, לא יחולו על העבדה</w:t>
                        </w:r>
                      </w:p>
                      <w:p w:rsid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(א)."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"עבורה בחופשת</w:t>
                        </w:r>
                      </w:p>
                      <w:p w:rsidR="005A4A04" w:rsidRP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</w:t>
                        </w:r>
                      </w:p>
                    </w:tc>
                  </w:tr>
                  <w:tr w:rsidR="005A4A04" w:rsidRPr="005A4A04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A4A04" w:rsidRP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5A4A04" w:rsidRPr="005A4A04" w:rsidRDefault="005A4A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(ב) לחוק העיקרי, פסקה (2) - בטלה.</w:t>
                        </w:r>
                      </w:p>
                    </w:tc>
                  </w:tr>
                </w:tbl>
                <w:p w:rsidR="005A4A04" w:rsidRDefault="005A4A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35" o:spid="_x0000_s1031" type="#_x0000_t202" style="position:absolute;left:0;text-align:left;margin-left:206pt;margin-top:333.25pt;width:297.8pt;height:32.65pt;z-index:1;mso-position-horizontal-relative:page;mso-position-vertical-relative:page" stroked="f">
            <v:textbox style="mso-next-textbox:#_x0000_s34335" inset="0,0,0,0">
              <w:txbxContent>
                <w:p w:rsidR="005A4A04" w:rsidRPr="005A4A04" w:rsidRDefault="005A4A04">
                  <w:pPr>
                    <w:pStyle w:val="OCRStyle1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חוק עבודת הנוער (תיקון מס' 5),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4A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C62BD7-CBFB-45DC-B2C1-7A63F381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4A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