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058CC" w:rsidRDefault="00F058CC">
      <w:pPr>
        <w:rPr>
          <w:rtl/>
        </w:rPr>
      </w:pPr>
    </w:p>
    <w:p w:rsidR="00F058C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33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336" inset="0,0,0,0">
              <w:txbxContent>
                <w:p w:rsidR="00F058CC" w:rsidRDefault="00F058CC">
                  <w:r>
                    <w:rPr>
                      <w:rtl/>
                    </w:rPr>
                    <w:t>2                                            ספר החוקים 638                  ח' בכסליו התשל"ב 26.11.1971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37" o:spid="_x0000_s1026" type="#_x0000_t202" style="position:absolute;left:0;text-align:left;margin-left:76.7pt;margin-top:670.9pt;width:396.8pt;height:93.65pt;z-index:6;mso-position-horizontal-relative:page;mso-position-vertical-relative:page" stroked="f">
            <v:textbox style="mso-next-textbox:#_x0000_s34337" inset="0,0,0,0">
              <w:txbxContent>
                <w:p w:rsidR="00F058CC" w:rsidRDefault="00F058CC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בחשון תשל"ב (10 בנובמבר 1971); הצעת החוק ודברי הסבר פורסמו בה"ח 928, תשל"א,</w:t>
                  </w:r>
                </w:p>
                <w:p w:rsidR="00F058CC" w:rsidRDefault="00F058CC">
                  <w:pPr>
                    <w:pStyle w:val="OCRStyle1"/>
                    <w:ind w:left="60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159.</w:t>
                  </w:r>
                </w:p>
                <w:p w:rsidR="00F058CC" w:rsidRDefault="00F058CC">
                  <w:pPr>
                    <w:pStyle w:val="OCRStyle1"/>
                    <w:ind w:left="49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תש"ך, עמ' 52; תשכ"ח, עמ' 223; תשל"א, עמ' 141, עמי 177.</w:t>
                  </w:r>
                </w:p>
                <w:p w:rsidR="00F058CC" w:rsidRPr="00F058CC" w:rsidRDefault="00F058CC">
                  <w:pPr>
                    <w:pStyle w:val="OCRStyle1"/>
                    <w:ind w:left="50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תשט"ו, עמי ,96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38" o:spid="_x0000_s1027" type="#_x0000_t202" style="position:absolute;left:0;text-align:left;margin-left:337.5pt;margin-top:537.45pt;width:133.45pt;height:43.75pt;z-index:5;mso-position-horizontal-relative:page;mso-position-vertical-relative:page" stroked="f">
            <v:textbox style="mso-next-textbox:#_x0000_s34338" inset="0,0,0,0">
              <w:txbxContent>
                <w:p w:rsidR="00F058CC" w:rsidRDefault="00F058CC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F058CC" w:rsidRDefault="00F058CC">
                  <w:pPr>
                    <w:pStyle w:val="OCRStyle1"/>
                    <w:ind w:left="6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39" o:spid="_x0000_s1028" type="#_x0000_t202" style="position:absolute;left:0;text-align:left;margin-left:103.45pt;margin-top:496.85pt;width:99.8pt;height:34.45pt;z-index:4;mso-position-horizontal-relative:page;mso-position-vertical-relative:page" stroked="f">
            <v:textbox style="mso-next-textbox:#_x0000_s34339" inset="0,0,0,0">
              <w:txbxContent>
                <w:p w:rsidR="00F058CC" w:rsidRDefault="00F058CC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מיכאל חזני</w:t>
                  </w:r>
                </w:p>
                <w:p w:rsidR="00F058CC" w:rsidRDefault="00F058CC">
                  <w:pPr>
                    <w:pStyle w:val="OCRStyle1"/>
                    <w:ind w:left="526"/>
                  </w:pPr>
                  <w:r>
                    <w:rPr>
                      <w:rtl/>
                    </w:rPr>
                    <w:t>שר הסעד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40" o:spid="_x0000_s1029" type="#_x0000_t202" style="position:absolute;left:0;text-align:left;margin-left:224.8pt;margin-top:498.65pt;width:99pt;height:37.05pt;z-index:3;mso-position-horizontal-relative:page;mso-position-vertical-relative:page" stroked="f">
            <v:textbox style="mso-next-textbox:#_x0000_s34340" inset="0,0,0,0">
              <w:txbxContent>
                <w:p w:rsidR="00F058CC" w:rsidRDefault="00F058CC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F058CC" w:rsidRDefault="00F058CC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41" o:spid="_x0000_s1030" type="#_x0000_t202" style="position:absolute;left:0;text-align:left;margin-left:74.15pt;margin-top:134.5pt;width:483.7pt;height:339.15pt;z-index:2;mso-position-horizontal-relative:page;mso-position-vertical-relative:page" stroked="f">
            <v:textbox style="mso-next-textbox:#_x0000_s34341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0"/>
                    <w:gridCol w:w="1463"/>
                    <w:gridCol w:w="1511"/>
                  </w:tblGrid>
                  <w:tr w:rsidR="00F058CC" w:rsidRPr="00F058CC">
                    <w:trPr>
                      <w:jc w:val="right"/>
                    </w:trPr>
                    <w:tc>
                      <w:tcPr>
                        <w:tcW w:w="4141" w:type="pct"/>
                        <w:gridSpan w:val="2"/>
                      </w:tcPr>
                      <w:p w:rsidR="00F058CC" w:rsidRPr="00F058CC" w:rsidRDefault="00F058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כחוק הבוער (טיפול והשגחה), תש"ך-1960 1 (להלן - החוק), אחרי סעיף 9 יבוא:</w:t>
                        </w:r>
                      </w:p>
                    </w:tc>
                    <w:tc>
                      <w:tcPr>
                        <w:tcW w:w="859" w:type="pct"/>
                      </w:tcPr>
                      <w:p w:rsidR="00F058CC" w:rsidRDefault="00F058C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F058CC" w:rsidRPr="00F058CC" w:rsidRDefault="00F058C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9א-9ב</w:t>
                        </w:r>
                      </w:p>
                    </w:tc>
                  </w:tr>
                  <w:tr w:rsidR="00F058CC">
                    <w:trPr>
                      <w:jc w:val="right"/>
                    </w:trPr>
                    <w:tc>
                      <w:tcPr>
                        <w:tcW w:w="3309" w:type="pct"/>
                      </w:tcPr>
                      <w:p w:rsidR="00F058CC" w:rsidRDefault="00F058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בית המשפט רשאי להימנע מהזמין קטין כעד בהליכים לפי חוק זה,</w:t>
                        </w:r>
                      </w:p>
                      <w:p w:rsidR="00F058CC" w:rsidRDefault="00F058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להפסיק עדותו, אם היה סבור שמתן העדות עלול לסכן את שלומו</w:t>
                        </w:r>
                      </w:p>
                      <w:p w:rsidR="00F058CC" w:rsidRDefault="00F058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הקטין; במקרה זה רשאי הוא לקבל כראיה עדות שגבה ורשם חוקר</w:t>
                        </w:r>
                      </w:p>
                      <w:p w:rsidR="00F058CC" w:rsidRDefault="00F058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נוער, לפי חוק לתיקון דיני הראיות (הגנת ילדים), תשט"ו-1955 2, או</w:t>
                        </w:r>
                      </w:p>
                      <w:p w:rsidR="00F058CC" w:rsidRDefault="00F058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זכרון דברים או דין-וחשבון שרשם חוקר נוער בשעת חקירה או לאחריה.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F058CC" w:rsidRDefault="00F058C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'מניעת עדותו של</w:t>
                        </w:r>
                      </w:p>
                      <w:p w:rsidR="00F058CC" w:rsidRPr="00F058CC" w:rsidRDefault="00F058C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קטין</w:t>
                        </w:r>
                      </w:p>
                    </w:tc>
                    <w:tc>
                      <w:tcPr>
                        <w:tcW w:w="859" w:type="pct"/>
                      </w:tcPr>
                      <w:p w:rsidR="00F058CC" w:rsidRDefault="00F058C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058CC">
                    <w:trPr>
                      <w:jc w:val="right"/>
                    </w:trPr>
                    <w:tc>
                      <w:tcPr>
                        <w:tcW w:w="3309" w:type="pct"/>
                      </w:tcPr>
                      <w:p w:rsidR="00F058CC" w:rsidRDefault="00F058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9ב. בית המשפט, בבואו להחליט אם קטין הוא נזקק לפי סעיף 2(2)</w:t>
                        </w:r>
                      </w:p>
                      <w:p w:rsidR="00F058CC" w:rsidRDefault="00F058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ו-(5), רשאי לקבל כראיה עדויות שהושמעו לאותו ענין לגבי אחיו</w:t>
                        </w:r>
                      </w:p>
                      <w:p w:rsidR="00F058CC" w:rsidRDefault="00F058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ואחיותיו של הקטין, ובלבד שלא יכריע על סמך עדויות אלה בלבד;</w:t>
                        </w:r>
                      </w:p>
                      <w:p w:rsidR="00F058CC" w:rsidRDefault="00F058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ישמע את העדויות מחדש אם ביקש זאת אחד הצדדים."</w:t>
                        </w:r>
                      </w:p>
                    </w:tc>
                    <w:tc>
                      <w:tcPr>
                        <w:tcW w:w="832" w:type="pct"/>
                      </w:tcPr>
                      <w:p w:rsidR="00F058CC" w:rsidRDefault="00F058C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ראיות קודמות</w:t>
                        </w:r>
                      </w:p>
                      <w:p w:rsidR="00F058CC" w:rsidRPr="00F058CC" w:rsidRDefault="00F058C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נזקקות</w:t>
                        </w:r>
                      </w:p>
                    </w:tc>
                    <w:tc>
                      <w:tcPr>
                        <w:tcW w:w="859" w:type="pct"/>
                      </w:tcPr>
                      <w:p w:rsidR="00F058CC" w:rsidRDefault="00F058C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058CC" w:rsidRPr="00F058CC">
                    <w:trPr>
                      <w:jc w:val="right"/>
                    </w:trPr>
                    <w:tc>
                      <w:tcPr>
                        <w:tcW w:w="4141" w:type="pct"/>
                        <w:gridSpan w:val="2"/>
                      </w:tcPr>
                      <w:p w:rsidR="00F058CC" w:rsidRDefault="00F058C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סעיף 18 לחוק יסומן כסעיף קטן (א), ואחריו יבוא:</w:t>
                        </w:r>
                      </w:p>
                      <w:p w:rsidR="00F058CC" w:rsidRDefault="00F058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בית המשפט רשאי, לשם ביצוע הוראות חוק זה, לכפות</w:t>
                        </w:r>
                      </w:p>
                      <w:p w:rsidR="00F058CC" w:rsidRDefault="00F058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התייצבותו של קטין לפניו או לפני מוסד שצויין בהחלטתו.</w:t>
                        </w:r>
                      </w:p>
                      <w:p w:rsidR="00F058CC" w:rsidRDefault="00F058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לשם ביצוע צווי חירום לפי סעיף 11, זכאי פקיד סעד לקבל</w:t>
                        </w:r>
                      </w:p>
                      <w:p w:rsidR="00F058CC" w:rsidRDefault="00F058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הצורך עזרה מתאימה מהמשטרה.</w:t>
                        </w:r>
                      </w:p>
                      <w:p w:rsidR="00F058CC" w:rsidRDefault="00F058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קטין שעזב ללא רשות מקום חסות שנקבע לו על פי חוק זה,</w:t>
                        </w:r>
                      </w:p>
                      <w:p w:rsidR="00F058CC" w:rsidRDefault="00F058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פקיד סעד, לשם מילוי תפקידו האמור בסעיף קטן (א), לקבל בשעת</w:t>
                        </w:r>
                      </w:p>
                      <w:p w:rsidR="00F058CC" w:rsidRDefault="00F058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הצורך עזרה מתאימה מהמשטרה, ומוסמך שוטר לעצור את הקטין ולהח-</w:t>
                        </w:r>
                      </w:p>
                      <w:p w:rsidR="00F058CC" w:rsidRPr="00F058CC" w:rsidRDefault="00F058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זירו למקום החסות."</w:t>
                        </w:r>
                      </w:p>
                    </w:tc>
                    <w:tc>
                      <w:tcPr>
                        <w:tcW w:w="859" w:type="pct"/>
                      </w:tcPr>
                      <w:p w:rsidR="00F058CC" w:rsidRPr="00F058CC" w:rsidRDefault="00F058C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</w:tr>
                </w:tbl>
                <w:p w:rsidR="00F058CC" w:rsidRDefault="00F058C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342" o:spid="_x0000_s1031" type="#_x0000_t202" style="position:absolute;left:0;text-align:left;margin-left:113.75pt;margin-top:99.3pt;width:329.65pt;height:30.9pt;z-index:1;mso-position-horizontal-relative:page;mso-position-vertical-relative:page" stroked="f">
            <v:textbox style="mso-next-textbox:#_x0000_s34342" inset="0,0,0,0">
              <w:txbxContent>
                <w:p w:rsidR="00F058CC" w:rsidRPr="00F058CC" w:rsidRDefault="00F058CC">
                  <w:pPr>
                    <w:pStyle w:val="OCRStyle1"/>
                    <w:ind w:left="25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הנוער (טיפול והשגחה) (תיקון מס' 4), תשל"ב-1971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058C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808F552-2567-451F-9D87-752F94961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058C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2008-04-06T21:43:00Z</dcterms:created>
  <dcterms:modified xsi:type="dcterms:W3CDTF">2008-04-06T21:43:00Z</dcterms:modified>
</cp:coreProperties>
</file>