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6B3F" w:rsidRDefault="00D36B3F">
      <w:pPr>
        <w:rPr>
          <w:rtl/>
        </w:rPr>
      </w:pPr>
    </w:p>
    <w:p w:rsidR="00D36B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561" inset="0,0,0,0">
              <w:txbxContent>
                <w:p w:rsidR="004E5C48" w:rsidRDefault="004E5C48">
                  <w:r>
                    <w:rPr>
                      <w:rtl/>
                    </w:rPr>
                    <w:t>76                                           ספר החוקים 930                   י"ד באדר התשל"ט 13.03.1979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62" o:spid="_x0000_s1026" type="#_x0000_t202" style="position:absolute;left:0;text-align:left;margin-left:93pt;margin-top:655.1pt;width:383.15pt;height:87.9pt;z-index:3;mso-position-horizontal-relative:page;mso-position-vertical-relative:page" stroked="f">
            <v:textbox style="mso-next-textbox:#_x0000_s34562" inset="0,0,0,0">
              <w:txbxContent>
                <w:p w:rsidR="004E5C48" w:rsidRDefault="004E5C48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באדר תשל"ט (5 במרס 1979); הצעת החוק ודברי הסבר פורסמו בה"ח 1360,</w:t>
                  </w:r>
                </w:p>
                <w:p w:rsidR="004E5C48" w:rsidRDefault="004E5C48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תשל"ח, עמ' 284,</w:t>
                  </w:r>
                </w:p>
                <w:p w:rsidR="004E5C48" w:rsidRDefault="004E5C48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ע"ר תש"ח, תוס' א', עמ' 1.</w:t>
                  </w:r>
                </w:p>
                <w:p w:rsidR="004E5C48" w:rsidRPr="00D36B3F" w:rsidRDefault="004E5C48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2 ס"ח תשט"ו, עמ'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63" o:spid="_x0000_s1027" type="#_x0000_t202" style="position:absolute;left:0;text-align:left;margin-left:98.15pt;margin-top:105.85pt;width:450.25pt;height:538.15pt;z-index:2;mso-position-horizontal-relative:page;mso-position-vertical-relative:page" stroked="f">
            <v:textbox style="mso-next-textbox:#_x0000_s3456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105"/>
                  </w:tblGrid>
                  <w:tr w:rsidR="004E5C48" w:rsidRPr="00D36B3F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4E5C48" w:rsidRDefault="004E5C4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חוק זה לא יחול אלא בתקופה שקיים כמדינה מצב של חירום בתוקף אכרזה לפי סעיף</w:t>
                        </w:r>
                      </w:p>
                      <w:p w:rsidR="004E5C48" w:rsidRPr="00D36B3F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לפקודת סדרי השלטון והמשפט, תש"ח-1948 1.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4E5C48" w:rsidRPr="00D36B3F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חתולה</w:t>
                        </w:r>
                      </w:p>
                    </w:tc>
                  </w:tr>
                  <w:tr w:rsidR="004E5C48" w:rsidRPr="00D36B3F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היה לשר הבטחון יסוד סביר להניח שטעמי בטחון המדינה או בטחון הציבור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מחייבים שאדם פלוני יוחזק במעצר, רשאי הוא, בצו בחתימת ידו, להורות על מעצרו של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לתקיפה שתצויין כצו ושלא תעלה על ששה חדשים.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לשר הבטחון יסוד סביר להניח, ערב פקיעת תקפו של צו לפי סעיף קטן (א)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צו המעצר המקורי), שטעמי בטחון המדינה או בטחון הציבור עדיין מחייבים את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החזקתו של העציר במעצר, רשאי הוא, בצו בחתימת ידו, להורות מפעם לפעם על הארכת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צו המעצר המקורי לתקופה שלא תעלה על ששה חדשים, ודין צו ההארכה לכל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כדין צו המעצר המקורי.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לראש המטה הכללי יסוד סביר להניח שקיימים התנאים שבהם רשאי שר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לצוות על מעצרו של אדם לפי סעיף קטן (א), רשאי הוא, בצו בחתימת ידו, להורות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מעצרו של אותו אדם, לתקופה שלא תעלה על 48 שעות ולא תהא ניתנת להארכה על ידי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של ראש המטה הכללי.</w:t>
                        </w:r>
                      </w:p>
                      <w:p w:rsidR="004E5C48" w:rsidRPr="00D36B3F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לפי סעיף זה יכול שיינתן שלא כמעמד האדם שעל מעצרו הוא חל.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4E5C48" w:rsidRPr="00D36B3F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מקצר</w:t>
                        </w:r>
                      </w:p>
                    </w:tc>
                  </w:tr>
                  <w:tr w:rsidR="004E5C48" w:rsidRPr="00D36B3F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.צו מעצר לפי חוק זה יבוצע על ידי שוטר או חייל כמשמעותו בסעיף 1 לחוק השיפוט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הצבאי, תשט"ו-19552, וישמש אסמכתה לחבישתו של העציר במקום מעצר שנקבע בצו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או בצו מאוחר יותר, בתנאים שקבע שר המשפטים בתקנות בהתייעצות עם שר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ובאישור ועדה משותפת של ועדת החוקה חוק ומשפט ושל ועדת החוץ והבטחון של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 כתקנות כאמור ניתן לקבוע כין השאר הוראות כדבר משמעת העצירים במקומות</w:t>
                        </w:r>
                      </w:p>
                      <w:p w:rsidR="004E5C48" w:rsidRPr="00D36B3F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4E5C48" w:rsidRPr="00D36B3F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4E5C48" w:rsidRPr="00D36B3F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נעצר אדם על פי צו שר הבטחון לפי חוק זה, יובא תוך 48 שעות ממעצרו,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בתכוף לפני כן במעצר על פי צו ראש המטה הכללי - תוך 48 שעות ממעצרו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צו ראש המטה הכללי לפני נשיא בית המשפט המחוזי שבאזור שיפוטו נעצר, והנשיא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לאשר את צו המעצר, לבטלו או לקצר את תקופת המעצר שבו; לא הובא העציר לפני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 ולא הוחל בדיון לפניו תוך 48 השעות כאמור, ישוחרר העציר, זולת אם קיימת עילה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למעצרו לפי כל דין.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יובאו במנין 48 השעות האמורות ימי מנוחה כמשמעותם בפקודת סדרי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והמשפט, תש"ח-1948, הנהוגים לגבי נשיא בית המשפט המחוזי.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נשיא בית המשפט המחוזי יבטל את צו המעצר אם הוכח לו שהטעמים שבגללם</w:t>
                        </w:r>
                      </w:p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לא היו טעמים עניניים של בטחון המדינה או של בטחון הציבור או שניתן שלא בתום</w:t>
                        </w:r>
                      </w:p>
                      <w:p w:rsidR="004E5C48" w:rsidRPr="00D36B3F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או מתוך שיקולים שלא לענין.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4E5C48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שיפוטית</w:t>
                        </w:r>
                      </w:p>
                      <w:p w:rsidR="004E5C48" w:rsidRPr="00D36B3F" w:rsidRDefault="004E5C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צו המעצר</w:t>
                        </w:r>
                      </w:p>
                    </w:tc>
                  </w:tr>
                </w:tbl>
                <w:p w:rsidR="004E5C48" w:rsidRDefault="004E5C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64" o:spid="_x0000_s1028" type="#_x0000_t202" style="position:absolute;left:0;text-align:left;margin-left:142.1pt;margin-top:74.95pt;width:297pt;height:24.15pt;z-index:1;mso-position-horizontal-relative:page;mso-position-vertical-relative:page" stroked="f">
            <v:textbox style="mso-next-textbox:#_x0000_s34564" inset="0,0,0,0">
              <w:txbxContent>
                <w:p w:rsidR="004E5C48" w:rsidRPr="00D36B3F" w:rsidRDefault="004E5C48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סמכויות שעת-חירום (מעצרים), תשל"ט-1979 *</w:t>
                  </w:r>
                </w:p>
              </w:txbxContent>
            </v:textbox>
            <w10:wrap anchorx="page" anchory="page"/>
          </v:shape>
        </w:pict>
      </w:r>
    </w:p>
    <w:p w:rsidR="00CC1B33" w:rsidRDefault="00CC1B33">
      <w:pPr>
        <w:rPr>
          <w:rtl/>
        </w:rPr>
      </w:pPr>
      <w:r>
        <w:rPr>
          <w:rtl/>
        </w:rPr>
        <w:br w:type="page"/>
      </w:r>
    </w:p>
    <w:p w:rsidR="00CC1B33" w:rsidRDefault="00000000">
      <w:pPr>
        <w:rPr>
          <w:rtl/>
        </w:rPr>
      </w:pPr>
      <w:r>
        <w:pict>
          <v:shape id="_x0000_s3456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565" inset="0,0,0,0">
              <w:txbxContent>
                <w:p w:rsidR="004E5C48" w:rsidRDefault="004E5C48">
                  <w:r>
                    <w:rPr>
                      <w:rtl/>
                    </w:rPr>
                    <w:t>77                                           ספר החוקים 930                   י"ד באדר התשל"ט 13.03.1979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66" o:spid="_x0000_s1030" type="#_x0000_t202" style="position:absolute;left:0;text-align:left;margin-left:370.65pt;margin-top:667.1pt;width:176.4pt;height:65.55pt;z-index:6;mso-position-horizontal-relative:page;mso-position-vertical-relative:page" stroked="f">
            <v:textbox style="mso-next-textbox:#_x0000_s34566" inset="0,0,0,0">
              <w:txbxContent>
                <w:p w:rsidR="004E5C48" w:rsidRDefault="004E5C48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הדש 18, עמ' 421.</w:t>
                  </w:r>
                </w:p>
                <w:p w:rsidR="004E5C48" w:rsidRPr="00CC1B33" w:rsidRDefault="004E5C48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4 ע"ר 1945, תוס' 2, עמ' 855.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67" o:spid="_x0000_s1031" type="#_x0000_t202" style="position:absolute;left:0;text-align:left;margin-left:99.4pt;margin-top:70.55pt;width:447.7pt;height:595.8pt;z-index:5;mso-position-horizontal-relative:page;mso-position-vertical-relative:page" stroked="f">
            <v:textbox style="mso-next-textbox:#_x0000_s3456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4"/>
                    <w:gridCol w:w="7056"/>
                  </w:tblGrid>
                  <w:tr w:rsidR="004E5C48" w:rsidRPr="00CC1B3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תקופתי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אושר צו מעצר לפי חוק זה בשינוי או בלי שינוי, ידון נשיא בית המשפט המחוזי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בענין המעצר לא יאוחר משלושה חדשים אחרי אישור המעצר לפי סעיף 4 או אחרי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החלטה לפי סעיף זה או תוך תקופה קצרה יותר שקבע הנשיא בהחלטתו, כל עוד לא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שוחרר העציר: לא החל הדיון לפני הנשיא תוך התקופה האמורה, ישוחרר העציר, זולת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קיימת עילה אחרת למעצרו לפי כל דין.</w:t>
                        </w:r>
                      </w:p>
                    </w:tc>
                  </w:tr>
                  <w:tr w:rsidR="004E5C48" w:rsidRPr="00CC1B3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סטית מדיני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בהליכים לפי סעיפים 4 ו-5 מותר לסטות מדיני הראיות, אם נשיא בית המשפט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משוכנע שהדבר יועיל לגילוי האמת ולעשיית משפט צדק.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כל אימת שיוחלט לסטות מדיני הראיות, יירשמו הטעמים שהניעו למתן ההחלטה.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בהליכים לפי סעיפים 4 ו-5 רשאי נשיא בית המשפט המחוזי לקבל ראיה אף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בנוכחות העציר או בא-כוחו או בלי לגלותה להם אם, אחרי שעיין כראיה או שמע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טענות, אף שלא כנוכחות העציר ובא כוחו, שוכנע שגילוי הראיה לעציר או לבא כוחו עלול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כבטחון המדינה או כבטחון הציבור: הוראה זו אינה גורעת מכל זכות שלא למסור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לפי פרק ג' לפקודת הראיות ננוסח חדש], תשל"א-31971.</w:t>
                        </w:r>
                      </w:p>
                    </w:tc>
                  </w:tr>
                  <w:tr w:rsidR="004E5C48" w:rsidRPr="00CC1B3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החלטת נשיא בית המשפט המחוזי לאשר צו מעצר, בשינויים או כלי שינויים,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לבטלו או לשנותו, וכן החלטתו לפי סעיף 5, ניתנת לערעור לפני בית המשפט העליון,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שידון כערעור בשופט יחיד: לבית המשפט העליון יהיו כל הסמכויות שהוענקו לנשיא בית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לפי חוק זה.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לא יעכב את ביצוע הצו, אלא אם נשיא בית המשפט המחוזי או נשיא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החליט אחרת.</w:t>
                        </w:r>
                      </w:p>
                    </w:tc>
                  </w:tr>
                  <w:tr w:rsidR="004E5C48" w:rsidRPr="00CC1B3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נוכחות העציר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וייצוג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בכפוף לאמור בסעיף 6 (ג) רשאי עציר להיות נוכח ככל דיון לפי סעיפים 5,4 ו-7.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בצו להגביל את זכות הייצוג בהליכים לפי חוק זה למי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 לשמש סניגור צבאי בבתי הדין הצבאיים באישור בלתי מסוייג כאמור בסעיף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 (ג) לחוק השיפוט הצבאי, תשט"ו-1955.</w:t>
                        </w:r>
                      </w:p>
                    </w:tc>
                  </w:tr>
                  <w:tr w:rsidR="004E5C48" w:rsidRPr="00CC1B3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דלתיים סגורות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 הדיון בהליכים לפי חוק זה יתקיים בדלתיים סגורות.</w:t>
                        </w:r>
                      </w:p>
                    </w:tc>
                  </w:tr>
                  <w:tr w:rsidR="004E5C48" w:rsidRPr="00CC1B3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נבצר מסיבה כלשהי מנשיא בית המשפט המחוזי שבאזור שיפוטו נעצר העציר, למלא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לפי חוק זה, יבוא כמקומו הנשיא התורן, ואם נבצר אף מהנשיא התורן למלא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 אלה, יבוא כמקומו הנשיא של בית משפט מחוזי אחר.</w:t>
                        </w:r>
                      </w:p>
                    </w:tc>
                  </w:tr>
                  <w:tr w:rsidR="004E5C48" w:rsidRPr="00CC1B3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אצילה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סמכויות שר הבטחון לפי חוק זה אינן ניתנות לאצילה.</w:t>
                        </w:r>
                      </w:p>
                    </w:tc>
                  </w:tr>
                  <w:tr w:rsidR="004E5C48" w:rsidRPr="00CC1B3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תקנות 85 (י) ו-111 עד 112ב לתקנות ההגנה (שעת-חירום), 1945  4- בטלות.</w:t>
                        </w:r>
                      </w:p>
                    </w:tc>
                  </w:tr>
                  <w:tr w:rsidR="004E5C48" w:rsidRPr="00CC1B3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המשפטים ממונה על ביצוע חוק זה והוא רשאי להתקין תקנות לביצועו, ובאישור</w:t>
                        </w:r>
                      </w:p>
                      <w:p w:rsidR="004E5C48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 חוק ומשפט - תקנות הקובעות את סדרי הדין בהליכים לפי חוק זה ואת המועד</w:t>
                        </w:r>
                      </w:p>
                      <w:p w:rsidR="004E5C48" w:rsidRPr="00CC1B33" w:rsidRDefault="004E5C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ערעור ולעשיית פעולה אחרת לפי חוק זה.</w:t>
                        </w:r>
                      </w:p>
                    </w:tc>
                  </w:tr>
                </w:tbl>
                <w:p w:rsidR="004E5C48" w:rsidRDefault="004E5C4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E5C48" w:rsidRDefault="004E5C48">
      <w:pPr>
        <w:rPr>
          <w:rtl/>
        </w:rPr>
      </w:pPr>
      <w:r>
        <w:rPr>
          <w:rtl/>
        </w:rPr>
        <w:br w:type="page"/>
      </w:r>
    </w:p>
    <w:p w:rsidR="004E5C48" w:rsidRDefault="00000000">
      <w:pPr>
        <w:rPr>
          <w:rtl/>
        </w:rPr>
      </w:pPr>
      <w:r>
        <w:pict>
          <v:shape id="_x0000_s34568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4568" inset="0,0,0,0">
              <w:txbxContent>
                <w:p w:rsidR="004E5C48" w:rsidRDefault="004E5C48">
                  <w:r>
                    <w:rPr>
                      <w:rtl/>
                    </w:rPr>
                    <w:t>78                                           ספר החוקים 930                   י"ד באדר התשל"ט 13.03.1979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69" o:spid="_x0000_s1033" type="#_x0000_t202" style="position:absolute;left:0;text-align:left;margin-left:120.75pt;margin-top:230.15pt;width:81.75pt;height:36.05pt;z-index:11;mso-position-horizontal-relative:page;mso-position-vertical-relative:page" stroked="f">
            <v:textbox style="mso-next-textbox:#_x0000_s34569" inset="0,0,0,0">
              <w:txbxContent>
                <w:p w:rsidR="004E5C48" w:rsidRDefault="004E5C48">
                  <w:pPr>
                    <w:pStyle w:val="OCRStyle3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4E5C48" w:rsidRDefault="004E5C48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70" o:spid="_x0000_s1034" type="#_x0000_t202" style="position:absolute;left:0;text-align:left;margin-left:242.15pt;margin-top:230.95pt;width:70.5pt;height:37.05pt;z-index:10;mso-position-horizontal-relative:page;mso-position-vertical-relative:page" stroked="f">
            <v:textbox style="mso-next-textbox:#_x0000_s34570" inset="0,0,0,0">
              <w:txbxContent>
                <w:p w:rsidR="004E5C48" w:rsidRDefault="004E5C48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E5C48" w:rsidRDefault="004E5C48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71" o:spid="_x0000_s1035" type="#_x0000_t202" style="position:absolute;left:0;text-align:left;margin-left:408.25pt;margin-top:256.85pt;width:76.65pt;height:33.45pt;z-index:9;mso-position-horizontal-relative:page;mso-position-vertical-relative:page" stroked="f">
            <v:textbox style="mso-next-textbox:#_x0000_s34571" inset="0,0,0,0">
              <w:txbxContent>
                <w:p w:rsidR="004E5C48" w:rsidRDefault="004E5C48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E5C48" w:rsidRDefault="004E5C48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72" o:spid="_x0000_s1036" type="#_x0000_t202" style="position:absolute;left:0;text-align:left;margin-left:96.6pt;margin-top:67.4pt;width:466.5pt;height:148.1pt;z-index:8;mso-position-horizontal-relative:page;mso-position-vertical-relative:page" stroked="f">
            <v:textbox style="mso-next-textbox:#_x0000_s3457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235"/>
                  </w:tblGrid>
                  <w:tr w:rsidR="004E5C48" w:rsidRPr="004E5C48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4E5C48" w:rsidRDefault="004E5C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כל עוד לא הותקנו תקנות לפי סעיף 3, יחולו על המעצר במקומות המעצר</w:t>
                        </w:r>
                      </w:p>
                      <w:p w:rsidR="004E5C48" w:rsidRDefault="004E5C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כאותו סעיף הצווים וההוראות שניתנו על פי תקנה 111 (6) לתקנות ההגנה (שעת</w:t>
                        </w:r>
                      </w:p>
                      <w:p w:rsidR="004E5C48" w:rsidRDefault="004E5C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חירום), 1945, והם בתוקף בתכוף לפני תחילתו של חוק זה: אולם עצירים לפי חוק זה</w:t>
                        </w:r>
                      </w:p>
                      <w:p w:rsidR="004E5C48" w:rsidRDefault="004E5C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יופרדו בכל מקרה מאסירים שפוטים ומעצירים הממתינים למשפטם.</w:t>
                        </w:r>
                      </w:p>
                      <w:p w:rsidR="004E5C48" w:rsidRDefault="004E5C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שהיה עציר בתכוף לפני תחילתו של חוק זה מכוח תקנה 111 האמורה, רואים</w:t>
                        </w:r>
                      </w:p>
                      <w:p w:rsidR="004E5C48" w:rsidRDefault="004E5C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נעצר על פי חוק זה ביום תחילתו, לתקופה של ששה חדשים או לתקופה שתס-</w:t>
                        </w:r>
                      </w:p>
                      <w:p w:rsidR="004E5C48" w:rsidRDefault="004E5C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תיים במועד שנקבע בצו שלפיו נעצר, הכל לפי המוקדם, וכאילו נשיא בית המשפט המחוזי</w:t>
                        </w:r>
                      </w:p>
                      <w:p w:rsidR="004E5C48" w:rsidRDefault="004E5C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את המעצר.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4E5C48" w:rsidRPr="004E5C48" w:rsidRDefault="004E5C4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4E5C48" w:rsidRPr="004E5C48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4E5C48" w:rsidRPr="004E5C48" w:rsidRDefault="004E5C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תחילתו של חוק זה ביום ה-90 לאחר פרסומו ברשומות.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4E5C48" w:rsidRPr="004E5C48" w:rsidRDefault="004E5C4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E5C48" w:rsidRDefault="004E5C4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36B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9A8D83-46D6-44AF-888E-03FABE38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6B3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C1B3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E5C48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2008-04-06T23:55:00Z</dcterms:created>
  <dcterms:modified xsi:type="dcterms:W3CDTF">2008-04-06T23:55:00Z</dcterms:modified>
</cp:coreProperties>
</file>