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505B" w:rsidRDefault="0045505B">
      <w:pPr>
        <w:rPr>
          <w:rtl/>
        </w:rPr>
      </w:pPr>
    </w:p>
    <w:p w:rsidR="004550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0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604" inset="0,0,0,0">
              <w:txbxContent>
                <w:p w:rsidR="0045505B" w:rsidRDefault="0045505B">
                  <w:r>
                    <w:rPr>
                      <w:rtl/>
                    </w:rPr>
                    <w:t>17                                           ספר החוקים 211                    ב' בטבת התשי"ז 06.12.1956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5" o:spid="_x0000_s1026" type="#_x0000_t202" style="position:absolute;left:0;text-align:left;margin-left:154.85pt;margin-top:736.6pt;width:403.35pt;height:74.85pt;z-index:6;mso-position-horizontal-relative:page;mso-position-vertical-relative:page" stroked="f">
            <v:textbox style="mso-next-textbox:#_x0000_s34605" inset="0,0,0,0">
              <w:txbxContent>
                <w:p w:rsidR="0045505B" w:rsidRDefault="0045505B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תשי"ז (27 בנובמבר 1956) ; הצעת החוק ודברי הסבר נתפרסמו</w:t>
                  </w:r>
                </w:p>
                <w:p w:rsidR="0045505B" w:rsidRDefault="0045505B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276, תשי"ז, עמ' 34.</w:t>
                  </w:r>
                </w:p>
                <w:p w:rsidR="0045505B" w:rsidRPr="0045505B" w:rsidRDefault="0045505B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1939, חוסי 1 מס' 968, עמ' 137; ס"ח 92, תשי"ב,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6" o:spid="_x0000_s1027" type="#_x0000_t202" style="position:absolute;left:0;text-align:left;margin-left:320.75pt;margin-top:613.45pt;width:109.5pt;height:33.65pt;z-index:5;mso-position-horizontal-relative:page;mso-position-vertical-relative:page" stroked="f">
            <v:textbox style="mso-next-textbox:#_x0000_s34606" inset="0,0,0,0">
              <w:txbxContent>
                <w:p w:rsidR="0045505B" w:rsidRDefault="0045505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5505B" w:rsidRDefault="0045505B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7" o:spid="_x0000_s1028" type="#_x0000_t202" style="position:absolute;left:0;text-align:left;margin-left:464.1pt;margin-top:646.35pt;width:103.95pt;height:36.45pt;z-index:4;mso-position-horizontal-relative:page;mso-position-vertical-relative:page" stroked="f">
            <v:textbox style="mso-next-textbox:#_x0000_s34607" inset="0,0,0,0">
              <w:txbxContent>
                <w:p w:rsidR="0045505B" w:rsidRDefault="0045505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5505B" w:rsidRDefault="0045505B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8" o:spid="_x0000_s1029" type="#_x0000_t202" style="position:absolute;left:0;text-align:left;margin-left:173.05pt;margin-top:612.45pt;width:117.6pt;height:30.1pt;z-index:3;mso-position-horizontal-relative:page;mso-position-vertical-relative:page" stroked="f">
            <v:textbox style="mso-next-textbox:#_x0000_s34608" inset="0,0,0,0">
              <w:txbxContent>
                <w:p w:rsidR="0045505B" w:rsidRDefault="0045505B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5505B" w:rsidRDefault="0045505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09" o:spid="_x0000_s1030" type="#_x0000_t202" style="position:absolute;left:0;text-align:left;margin-left:81.8pt;margin-top:515.05pt;width:490.05pt;height:81.95pt;z-index:2;mso-position-horizontal-relative:page;mso-position-vertical-relative:page" stroked="f">
            <v:textbox style="mso-next-textbox:#_x0000_s3460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632"/>
                  </w:tblGrid>
                  <w:tr w:rsidR="0045505B" w:rsidRPr="0045505B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5505B" w:rsidRPr="0045505B" w:rsidRDefault="004550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5505B" w:rsidRDefault="004550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5(1) לפקודת הסמכויות בענין היבוא, היצוא והמכס (הגנה), 1939 1,  במקום</w:t>
                        </w:r>
                      </w:p>
                      <w:p w:rsidR="0045505B" w:rsidRDefault="004550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מהמלים "דינו - מאסר עד שתי שנים" ואילך יבואו המלים "דינו - מאסר שתי</w:t>
                        </w:r>
                      </w:p>
                      <w:p w:rsidR="0045505B" w:rsidRDefault="004550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או קנס פי שלושה משווי הסחורה, או משווי כלי ההובלה ששימשו להובלתה, הכל</w:t>
                        </w:r>
                      </w:p>
                      <w:p w:rsidR="0045505B" w:rsidRPr="0045505B" w:rsidRDefault="004550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הגדול יותר, או המאסר והקנס כאחד".</w:t>
                        </w:r>
                      </w:p>
                    </w:tc>
                  </w:tr>
                </w:tbl>
                <w:p w:rsidR="0045505B" w:rsidRDefault="004550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10" o:spid="_x0000_s1031" type="#_x0000_t202" style="position:absolute;left:0;text-align:left;margin-left:159.4pt;margin-top:472.1pt;width:395pt;height:42.75pt;z-index:1;mso-position-horizontal-relative:page;mso-position-vertical-relative:page" stroked="f">
            <v:textbox style="mso-next-textbox:#_x0000_s34610" inset="0,0,0,0">
              <w:txbxContent>
                <w:p w:rsidR="0045505B" w:rsidRDefault="0045505B">
                  <w:pPr>
                    <w:pStyle w:val="OCRStyle1"/>
                    <w:ind w:left="24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הסמכויות בענין היבוא, היצוא והמכס (הגנה),</w:t>
                  </w:r>
                </w:p>
                <w:p w:rsidR="0045505B" w:rsidRPr="0045505B" w:rsidRDefault="0045505B">
                  <w:pPr>
                    <w:pStyle w:val="OCRStyle1"/>
                    <w:ind w:left="294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550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D6B974-0D81-47F2-9E36-CD832F6A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50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2008-04-06T19:01:00Z</dcterms:created>
  <dcterms:modified xsi:type="dcterms:W3CDTF">2008-04-06T19:01:00Z</dcterms:modified>
</cp:coreProperties>
</file>