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2B6F" w:rsidRDefault="00B12B6F">
      <w:pPr>
        <w:rPr>
          <w:rtl/>
        </w:rPr>
      </w:pPr>
    </w:p>
    <w:p w:rsidR="00B12B6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75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753" inset="0,0,0,0">
              <w:txbxContent>
                <w:p w:rsidR="007042CF" w:rsidRDefault="007042CF">
                  <w:r>
                    <w:rPr>
                      <w:rtl/>
                    </w:rPr>
                    <w:t>80                                          ספר החוקים 1140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54" o:spid="_x0000_s1026" type="#_x0000_t202" style="position:absolute;left:0;text-align:left;margin-left:93.05pt;margin-top:667.55pt;width:388.65pt;height:75.85pt;z-index:3;mso-wrap-style:none;mso-position-horizontal-relative:page;mso-position-vertical-relative:page" stroked="f">
            <v:textbox style="mso-next-textbox:#_x0000_s34754" inset="0,0,0,0">
              <w:txbxContent>
                <w:p w:rsidR="007042CF" w:rsidRDefault="007042CF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התשמ"ה (26 במרס 1985); הצעת החוק ודברי הסבר פורסמו בה"ח 1653,</w:t>
                  </w:r>
                </w:p>
                <w:p w:rsidR="007042CF" w:rsidRDefault="007042CF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התשמ"ד, עמ' 90.</w:t>
                  </w:r>
                </w:p>
                <w:p w:rsidR="007042CF" w:rsidRPr="00B12B6F" w:rsidRDefault="007042CF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1 ס"ח התשכ''ה, עמ' 63; התשמ"א, עמ'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55" o:spid="_x0000_s1027" type="#_x0000_t202" style="position:absolute;left:0;text-align:left;margin-left:90.65pt;margin-top:105.8pt;width:459.55pt;height:560.95pt;z-index:2;mso-wrap-style:none;mso-position-horizontal-relative:page;mso-position-vertical-relative:page" stroked="f">
            <v:textbox style="mso-next-textbox:#_x0000_s34755" inset="0,0,0,0">
              <w:txbxContent>
                <w:tbl>
                  <w:tblPr>
                    <w:tblW w:w="49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1"/>
                    <w:gridCol w:w="1270"/>
                    <w:gridCol w:w="1077"/>
                  </w:tblGrid>
                  <w:tr w:rsidR="007042CF" w:rsidRPr="00B12B6F">
                    <w:trPr>
                      <w:jc w:val="right"/>
                    </w:trPr>
                    <w:tc>
                      <w:tcPr>
                        <w:tcW w:w="4356" w:type="pct"/>
                        <w:gridSpan w:val="2"/>
                      </w:tcPr>
                      <w:p w:rsidR="007042CF" w:rsidRDefault="007042C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6 לחוק הירושה, התשכ''ה-1965 י (להלן - החוק העיקרי) -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 "או ממנה שהוא זכאי לה על פי צוואה,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 או מקצתה";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"בן-זוגו או ילדו של המוריש" יבוא "בן-זוגו,</w:t>
                        </w:r>
                      </w:p>
                      <w:p w:rsidR="007042CF" w:rsidRPr="00B12B6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ילדו או אחיו של המוריש".</w:t>
                        </w:r>
                      </w:p>
                    </w:tc>
                    <w:tc>
                      <w:tcPr>
                        <w:tcW w:w="644" w:type="pct"/>
                      </w:tcPr>
                      <w:p w:rsidR="007042CF" w:rsidRPr="00B12B6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7042CF" w:rsidRPr="00B12B6F">
                    <w:trPr>
                      <w:jc w:val="right"/>
                    </w:trPr>
                    <w:tc>
                      <w:tcPr>
                        <w:tcW w:w="4356" w:type="pct"/>
                        <w:gridSpan w:val="2"/>
                      </w:tcPr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11 לחוק העיקרי -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פסקאות (1) עד (4) יבוא: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אם הניח המוריש ילדים או צאצאיהם או הורים - חצי;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הניח המוריש אחים או צאצאיהם או הורי הורים - שני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שלישים, ובלבד שאם ערב מותו של המוריש היה בן-הזוג נשוי לו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או יותר וגר עמו אותה שעה בדירה הכלולה, כולה או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חלקה, בעזבון, יטול בן-הזוג את כל חלקו של המוריש בדירה האמורה,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ושני שלישים מחנותי משאר העזבון";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אם לא הניח המוריש קרוב מן המנויים בסעיף קטן (א), יורש</w:t>
                        </w:r>
                      </w:p>
                      <w:p w:rsidR="007042CF" w:rsidRPr="00B12B6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הזוג את העזבון כולו."</w:t>
                        </w:r>
                      </w:p>
                    </w:tc>
                    <w:tc>
                      <w:tcPr>
                        <w:tcW w:w="644" w:type="pct"/>
                      </w:tcPr>
                      <w:p w:rsidR="007042CF" w:rsidRPr="00B12B6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51</w:t>
                        </w:r>
                      </w:p>
                    </w:tc>
                  </w:tr>
                  <w:tr w:rsidR="007042CF" w:rsidRPr="00B12B6F">
                    <w:trPr>
                      <w:jc w:val="right"/>
                    </w:trPr>
                    <w:tc>
                      <w:tcPr>
                        <w:tcW w:w="4356" w:type="pct"/>
                        <w:gridSpan w:val="2"/>
                      </w:tcPr>
                      <w:p w:rsidR="007042CF" w:rsidRPr="00B12B6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סעיפים 14 ו-15 לחוק העיקרי יבוא:</w:t>
                        </w:r>
                      </w:p>
                    </w:tc>
                    <w:tc>
                      <w:tcPr>
                        <w:tcW w:w="644" w:type="pct"/>
                        <w:vMerge w:val="restart"/>
                      </w:tcPr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7042CF" w:rsidRPr="00B12B6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ו-15</w:t>
                        </w:r>
                      </w:p>
                    </w:tc>
                  </w:tr>
                  <w:tr w:rsidR="007042CF">
                    <w:trPr>
                      <w:jc w:val="right"/>
                    </w:trPr>
                    <w:tc>
                      <w:tcPr>
                        <w:tcW w:w="3596" w:type="pct"/>
                      </w:tcPr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ילדו של מוריש שמת לפניו והשאיר ילדים, הילדים יורשים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במקומו, ועל דרך זו יורשים ילדים של כל אחד מקרובי המוריש שמת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לפניו; הוראות אלה לא יחולו כאשר המוריש הניח בן זוג וכן הורים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הורי הורים כאמור בסעיף 11 (א), או אחד מאלה.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ילדים היורשים לפי סעיף קטן (א) חולקים ביניהם בשווה מה</w:t>
                        </w:r>
                      </w:p>
                      <w:p w:rsidR="007042CF" w:rsidRPr="00B12B6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שירשו בדרך זו.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"חליפין</w:t>
                        </w:r>
                      </w:p>
                      <w:p w:rsidR="007042CF" w:rsidRPr="00B12B6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 יורש</w:t>
                        </w:r>
                      </w:p>
                    </w:tc>
                    <w:tc>
                      <w:tcPr>
                        <w:tcW w:w="644" w:type="pct"/>
                        <w:vMerge/>
                      </w:tcPr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042CF">
                    <w:trPr>
                      <w:jc w:val="right"/>
                    </w:trPr>
                    <w:tc>
                      <w:tcPr>
                        <w:tcW w:w="3596" w:type="pct"/>
                      </w:tcPr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מי שנמצא פסול לרשת או שהסתלק מחלקו בעזבון שלא לטובת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בן-זוגו, ילדו או אחיו של המוריש, חלקו מתווסף לשאר היורשים על פי</w:t>
                        </w:r>
                      </w:p>
                      <w:p w:rsidR="007042CF" w:rsidRPr="00B12B6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חלקיהם."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יורש פסול</w:t>
                        </w:r>
                      </w:p>
                      <w:p w:rsidR="007042CF" w:rsidRPr="00B12B6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ויורש שהסתלק</w:t>
                        </w:r>
                      </w:p>
                    </w:tc>
                    <w:tc>
                      <w:tcPr>
                        <w:tcW w:w="644" w:type="pct"/>
                      </w:tcPr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042CF" w:rsidRPr="00B12B6F">
                    <w:trPr>
                      <w:jc w:val="right"/>
                    </w:trPr>
                    <w:tc>
                      <w:tcPr>
                        <w:tcW w:w="4356" w:type="pct"/>
                        <w:gridSpan w:val="2"/>
                      </w:tcPr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25 לחוק העיקרי -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"קיום צוואה על אף פגם או חסר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בצורתה";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(א) ואחריו יבוא: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היה לבית המשפט ספק באמיתותה של צוואה בכתב יד</w:t>
                        </w:r>
                      </w:p>
                      <w:p w:rsidR="007042C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ובדבר גמירת דעתו של המצווה, רשאי הוא, בנסיבות מיוחדות, לקיימה</w:t>
                        </w:r>
                      </w:p>
                      <w:p w:rsidR="007042CF" w:rsidRPr="00B12B6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בהעדר חתימה או תאריך כנדרש בסעיף 19."</w:t>
                        </w:r>
                      </w:p>
                    </w:tc>
                    <w:tc>
                      <w:tcPr>
                        <w:tcW w:w="644" w:type="pct"/>
                      </w:tcPr>
                      <w:p w:rsidR="007042CF" w:rsidRPr="00B12B6F" w:rsidRDefault="007042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</w:tbl>
                <w:p w:rsidR="007042CF" w:rsidRDefault="007042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756" o:spid="_x0000_s1028" type="#_x0000_t202" style="position:absolute;left:0;text-align:left;margin-left:168.3pt;margin-top:76.9pt;width:244.95pt;height:20.6pt;z-index:1;mso-wrap-style:none;mso-position-horizontal-relative:page;mso-position-vertical-relative:page" stroked="f">
            <v:textbox style="mso-next-textbox:#_x0000_s34756" inset="0,0,0,0">
              <w:txbxContent>
                <w:p w:rsidR="007042CF" w:rsidRPr="00B12B6F" w:rsidRDefault="007042CF">
                  <w:pPr>
                    <w:pStyle w:val="OCRStyle1"/>
                    <w:ind w:left="28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הירושה (תיקון מס' 7), התשמ"ה-1985 *</w:t>
                  </w:r>
                </w:p>
              </w:txbxContent>
            </v:textbox>
            <w10:wrap anchorx="page" anchory="page"/>
          </v:shape>
        </w:pict>
      </w:r>
    </w:p>
    <w:p w:rsidR="00125434" w:rsidRDefault="00125434">
      <w:pPr>
        <w:rPr>
          <w:rtl/>
        </w:rPr>
      </w:pPr>
      <w:r>
        <w:rPr>
          <w:rtl/>
        </w:rPr>
        <w:br w:type="page"/>
      </w:r>
    </w:p>
    <w:p w:rsidR="00125434" w:rsidRDefault="00000000">
      <w:pPr>
        <w:rPr>
          <w:rtl/>
        </w:rPr>
      </w:pPr>
      <w:r>
        <w:pict>
          <v:shape id="_x0000_s3475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757" inset="0,0,0,0">
              <w:txbxContent>
                <w:p w:rsidR="007042CF" w:rsidRDefault="007042CF">
                  <w:r>
                    <w:rPr>
                      <w:rtl/>
                    </w:rPr>
                    <w:t>81                                          ספר החוקים 1140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58" o:spid="_x0000_s1030" type="#_x0000_t202" style="position:absolute;left:0;text-align:left;margin-left:378.1pt;margin-top:692.8pt;width:161.75pt;height:50.3pt;z-index:6;mso-wrap-style:none;mso-position-horizontal-relative:page;mso-position-vertical-relative:page" stroked="f">
            <v:textbox style="mso-next-textbox:#_x0000_s34758" inset="0,0,0,0">
              <w:txbxContent>
                <w:p w:rsidR="007042CF" w:rsidRPr="00125434" w:rsidRDefault="007042CF">
                  <w:pPr>
                    <w:pStyle w:val="OCRStyle2"/>
                    <w:ind w:left="119"/>
                  </w:pPr>
                  <w:r>
                    <w:rPr>
                      <w:rtl/>
                    </w:rPr>
                    <w:t>2 ס"ח התשכ"ב, עמ' 120; התשמ"ג, עמ' 79.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59" o:spid="_x0000_s1031" type="#_x0000_t202" style="position:absolute;left:0;text-align:left;margin-left:90.2pt;margin-top:74.85pt;width:452.05pt;height:617.15pt;z-index:5;mso-wrap-style:none;mso-position-horizontal-relative:page;mso-position-vertical-relative:page" stroked="f">
            <v:textbox style="mso-next-textbox:#_x0000_s34759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5800"/>
                    <w:gridCol w:w="1200"/>
                  </w:tblGrid>
                  <w:tr w:rsidR="007042CF" w:rsidRPr="0012543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41(א) לחוק העיקרי, במקום "בן-זוגו או ילדיו של המוריש" יבוא "בן-זוגו,</w:t>
                        </w:r>
                      </w:p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ילדו או אחיו של המוריש".</w:t>
                        </w:r>
                      </w:p>
                    </w:tc>
                  </w:tr>
                  <w:tr w:rsidR="007042CF" w:rsidRPr="0012543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49 לחוק העיקרי, המלים "בן-זוג או" - יימחקו.</w:t>
                        </w:r>
                      </w:p>
                    </w:tc>
                  </w:tr>
                  <w:tr w:rsidR="007042CF" w:rsidRPr="0012543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50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50 לחוק העיקרי, במקום "בן-זוגו או ילדיו של המוריש" יבוא "בן-זוגו,</w:t>
                        </w:r>
                      </w:p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ילדו או אחיו של המוריש".</w:t>
                        </w:r>
                      </w:p>
                    </w:tc>
                  </w:tr>
                  <w:tr w:rsidR="007042CF" w:rsidRPr="0012543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72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72(א) לחוק העיקרי, במקום הסיפה המתחילה במלים "לפני שנתן" יבוא</w:t>
                        </w:r>
                      </w:p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"לפני מתן הצו, או שיכול היה להביאה לאחר מכן ולא עשה כן בהזדמנות הסבירה</w:t>
                        </w:r>
                      </w:p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הראשונה".</w:t>
                        </w:r>
                      </w:p>
                    </w:tc>
                  </w:tr>
                  <w:tr w:rsidR="007042CF" w:rsidRPr="0012543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84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84 לחוק העיקרי -</w:t>
                        </w:r>
                      </w:p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"לבית המשפט" יבוא "לאפוטרופוס הכללי";</w:t>
                        </w:r>
                      </w:p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"בית המשפט" יבוא "האפוטרופוס הכללי".</w:t>
                        </w:r>
                      </w:p>
                    </w:tc>
                  </w:tr>
                  <w:tr w:rsidR="007042CF" w:rsidRPr="0012543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85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85 לחוק העיקרי, בפסקה (1), במקום "לבית המשפט" יבוא "לאפוטרופוס</w:t>
                        </w:r>
                      </w:p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הכללי''.</w:t>
                        </w:r>
                      </w:p>
                    </w:tc>
                  </w:tr>
                  <w:tr w:rsidR="007042CF" w:rsidRPr="0012543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86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86 לחוק העיקרי, במקום "לבית המשפט" פעמיים, יבוא ''לאפוטרופוס</w:t>
                        </w:r>
                      </w:p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הכללי''.</w:t>
                        </w:r>
                      </w:p>
                    </w:tc>
                  </w:tr>
                  <w:tr w:rsidR="007042CF" w:rsidRPr="0012543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87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במקום סעיף 87 לחוק העיקרי יבוא:</w:t>
                        </w:r>
                      </w:p>
                    </w:tc>
                  </w:tr>
                  <w:tr w:rsidR="007042CF" w:rsidRPr="0012543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8" w:type="pct"/>
                      </w:tcPr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87. שר המשפטים רשאי, באישור ועדת החוקה חוק ומשפט של הכנסת,</w:t>
                        </w:r>
                      </w:p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בדבר אופן בדיקת הפרטה והדו''חות בידי האפוטרופוס</w:t>
                        </w:r>
                      </w:p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ורשאי הוא לקבוע סוגי דו''חות שהאפוטרופוס הכללי יהיה פטור</w:t>
                        </w:r>
                      </w:p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מבדיקתם, בתנאים שייקבעו."</w:t>
                        </w:r>
                      </w:p>
                    </w:tc>
                    <w:tc>
                      <w:tcPr>
                        <w:tcW w:w="730" w:type="pct"/>
                      </w:tcPr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"בדיקת דו"חות</w:t>
                        </w:r>
                      </w:p>
                    </w:tc>
                  </w:tr>
                  <w:tr w:rsidR="007042CF" w:rsidRPr="0012543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הכשרות המשפטית</w:t>
                        </w:r>
                      </w:p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והאפוטרופסות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בחוק הכשרות המשפטית והאפוטרופסות, התשכ"ב-1962 2-</w:t>
                        </w:r>
                      </w:p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51 יבוא:</w:t>
                        </w:r>
                      </w:p>
                    </w:tc>
                  </w:tr>
                  <w:tr w:rsidR="007042CF" w:rsidRPr="0012543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8" w:type="pct"/>
                      </w:tcPr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האפוטרופוס חייב להגיש לאפוטרופוס הכללי, תוך שלושים ימים</w:t>
                        </w:r>
                      </w:p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מינויו, פרטה של נכסי החסוי, כולל חובותיו, זולת אם פטר אותו</w:t>
                        </w:r>
                      </w:p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הכללי מחובה זו או קבע מועד אחר להגשת הפרטה.";</w:t>
                        </w:r>
                      </w:p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52, בפסקה (1), במקום "לבית המשפט" יבוא "לאפוטרופוס</w:t>
                        </w:r>
                      </w:p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-כללי";</w:t>
                        </w:r>
                      </w:p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53, במקום "לבית המשפט" פעמיים, יבוא ''לאפוטרופוס הכללי" ;</w:t>
                        </w:r>
                      </w:p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54 יבוא :</w:t>
                        </w:r>
                      </w:p>
                    </w:tc>
                    <w:tc>
                      <w:tcPr>
                        <w:tcW w:w="730" w:type="pct"/>
                      </w:tcPr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"פרטה</w:t>
                        </w:r>
                      </w:p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</w:t>
                        </w:r>
                      </w:p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7042CF" w:rsidRPr="0012543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8" w:type="pct"/>
                      </w:tcPr>
                      <w:p w:rsidR="007042CF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שר המשפטים רשאי, באישור ועדת החוקה חוק ומשפט של הכנסת,</w:t>
                        </w:r>
                      </w:p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בדבר אופן בדיקת הפרטה והדו''חות בידי האפוטרופוס</w:t>
                        </w:r>
                      </w:p>
                    </w:tc>
                    <w:tc>
                      <w:tcPr>
                        <w:tcW w:w="730" w:type="pct"/>
                      </w:tcPr>
                      <w:p w:rsidR="007042CF" w:rsidRPr="00125434" w:rsidRDefault="007042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"בדיקת דו"חות</w:t>
                        </w:r>
                      </w:p>
                    </w:tc>
                  </w:tr>
                </w:tbl>
                <w:p w:rsidR="007042CF" w:rsidRDefault="007042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042CF" w:rsidRDefault="007042CF">
      <w:pPr>
        <w:rPr>
          <w:rtl/>
        </w:rPr>
      </w:pPr>
      <w:r>
        <w:rPr>
          <w:rtl/>
        </w:rPr>
        <w:br w:type="page"/>
      </w:r>
    </w:p>
    <w:p w:rsidR="007042CF" w:rsidRDefault="00000000">
      <w:pPr>
        <w:rPr>
          <w:rtl/>
        </w:rPr>
      </w:pPr>
      <w:r>
        <w:pict>
          <v:shape id="_x0000_s34760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4760" inset="0,0,0,0">
              <w:txbxContent>
                <w:p w:rsidR="007042CF" w:rsidRDefault="007042CF">
                  <w:r>
                    <w:rPr>
                      <w:rtl/>
                    </w:rPr>
                    <w:t>82                                          ספר החוקים 1140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61" o:spid="_x0000_s1033" type="#_x0000_t202" style="position:absolute;left:0;text-align:left;margin-left:127.35pt;margin-top:210.75pt;width:72.65pt;height:45.35pt;z-index:11;mso-wrap-style:none;mso-position-horizontal-relative:page;mso-position-vertical-relative:page" stroked="f">
            <v:textbox style="mso-next-textbox:#_x0000_s34761" inset="0,0,0,0">
              <w:txbxContent>
                <w:p w:rsidR="007042CF" w:rsidRDefault="007042CF">
                  <w:pPr>
                    <w:pStyle w:val="OCRStyle3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7042CF" w:rsidRDefault="007042CF">
                  <w:pPr>
                    <w:pStyle w:val="OCRStyle3"/>
                    <w:ind w:left="11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62" o:spid="_x0000_s1034" type="#_x0000_t202" style="position:absolute;left:0;text-align:left;margin-left:251.9pt;margin-top:209pt;width:85.15pt;height:38.8pt;z-index:10;mso-wrap-style:none;mso-position-horizontal-relative:page;mso-position-vertical-relative:page" stroked="f">
            <v:textbox style="mso-next-textbox:#_x0000_s34762" inset="0,0,0,0">
              <w:txbxContent>
                <w:p w:rsidR="007042CF" w:rsidRDefault="007042CF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042CF" w:rsidRDefault="007042CF">
                  <w:pPr>
                    <w:pStyle w:val="OCRStyle3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63" o:spid="_x0000_s1035" type="#_x0000_t202" style="position:absolute;left:0;text-align:left;margin-left:382.4pt;margin-top:237.9pt;width:84.15pt;height:38pt;z-index:9;mso-wrap-style:none;mso-position-horizontal-relative:page;mso-position-vertical-relative:page" stroked="f">
            <v:textbox style="mso-next-textbox:#_x0000_s34763" inset="0,0,0,0">
              <w:txbxContent>
                <w:p w:rsidR="007042CF" w:rsidRDefault="007042CF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7042CF" w:rsidRDefault="007042CF">
                  <w:pPr>
                    <w:pStyle w:val="OCRStyle3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64" o:spid="_x0000_s1036" type="#_x0000_t202" style="position:absolute;left:0;text-align:left;margin-left:101pt;margin-top:76.35pt;width:458.55pt;height:124.55pt;z-index:8;mso-wrap-style:none;mso-position-horizontal-relative:page;mso-position-vertical-relative:page" stroked="f">
            <v:textbox style="mso-next-textbox:#_x0000_s34764" inset="0,0,0,0">
              <w:txbxContent>
                <w:tbl>
                  <w:tblPr>
                    <w:tblW w:w="48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0"/>
                    <w:gridCol w:w="1217"/>
                  </w:tblGrid>
                  <w:tr w:rsidR="007042CF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7042CF" w:rsidRDefault="00704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הכללי, ורשאי הוא לקבוע סוגי דו"חות שהאפוטרופוס הכללי סטור</w:t>
                        </w:r>
                      </w:p>
                      <w:p w:rsidR="007042CF" w:rsidRDefault="00704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מבדיקתם, בתנאים שייקבעו.";</w:t>
                        </w:r>
                      </w:p>
                      <w:p w:rsidR="007042CF" w:rsidRDefault="00704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65, המלים "51 סיסה, 54 סיפק" - יימחקו."</w:t>
                        </w:r>
                      </w:p>
                    </w:tc>
                    <w:tc>
                      <w:tcPr>
                        <w:tcW w:w="730" w:type="pct"/>
                      </w:tcPr>
                      <w:p w:rsidR="007042CF" w:rsidRDefault="007042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042CF" w:rsidRPr="007042CF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7042CF" w:rsidRDefault="00704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הוראות סעיפים 1 עד 8 יחולו גם על ירושתו של מי שמת לפני פרסום חוק זה,</w:t>
                        </w:r>
                      </w:p>
                      <w:p w:rsidR="007042CF" w:rsidRDefault="00704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שביום הפרסום לא ניתן עדיין צו ירושה או צו קיום המצהיר על זכויות יורשיו.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7042CF" w:rsidRPr="007042CF" w:rsidRDefault="00704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7042CF" w:rsidRPr="007042CF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7042CF" w:rsidRPr="007042CF" w:rsidRDefault="00704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תחילתם של סעיפים 9 עד 13 ביום שקבע שר המשפטים בצו.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7042CF" w:rsidRPr="007042CF" w:rsidRDefault="007042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042CF" w:rsidRDefault="007042C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12B6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4D788B7-F883-470D-A935-1D80DEF0A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12B6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2543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042C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2008-04-07T02:00:00Z</dcterms:created>
  <dcterms:modified xsi:type="dcterms:W3CDTF">2008-04-07T02:00:00Z</dcterms:modified>
</cp:coreProperties>
</file>