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0497C" w:rsidRDefault="0070497C">
      <w:pPr>
        <w:rPr>
          <w:rtl/>
        </w:rPr>
      </w:pPr>
    </w:p>
    <w:p w:rsidR="0070497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06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5067" inset="0,0,0,0">
              <w:txbxContent>
                <w:p w:rsidR="006657B6" w:rsidRDefault="006657B6">
                  <w:r>
                    <w:rPr>
                      <w:rtl/>
                    </w:rPr>
                    <w:t>133                                         ספר החוקים 1218                   א' בתמוז התשמ"ז 28.06.1987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68" o:spid="_x0000_s1026" type="#_x0000_t202" style="position:absolute;left:0;text-align:left;margin-left:158pt;margin-top:671.9pt;width:389.25pt;height:70.9pt;z-index:3;mso-wrap-style:none;mso-position-horizontal-relative:page;mso-position-vertical-relative:page" stroked="f">
            <v:textbox style="mso-next-textbox:#_x0000_s35068" inset="0,0,0,0">
              <w:txbxContent>
                <w:p w:rsidR="006657B6" w:rsidRDefault="006657B6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בסיון התשמ"ז (22 ביוני 1937) ; הצעת החוק ודברי הסבר פורסמו בה"ח 1713,</w:t>
                  </w:r>
                </w:p>
                <w:p w:rsidR="006657B6" w:rsidRDefault="006657B6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התשמ"ה, עמ' 96.</w:t>
                  </w:r>
                </w:p>
                <w:p w:rsidR="006657B6" w:rsidRPr="0070497C" w:rsidRDefault="006657B6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1 ס"ח התשכ''ה, עמ' 224,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69" o:spid="_x0000_s1027" type="#_x0000_t202" style="position:absolute;left:0;text-align:left;margin-left:110.1pt;margin-top:263.4pt;width:442.15pt;height:408.3pt;z-index:2;mso-wrap-style:none;mso-position-horizontal-relative:page;mso-position-vertical-relative:page" stroked="f">
            <v:textbox style="mso-next-textbox:#_x0000_s35069" inset="0,0,0,0">
              <w:txbxContent>
                <w:tbl>
                  <w:tblPr>
                    <w:tblW w:w="47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6"/>
                    <w:gridCol w:w="5831"/>
                    <w:gridCol w:w="1092"/>
                  </w:tblGrid>
                  <w:tr w:rsidR="006657B6" w:rsidRPr="0070497C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6657B6" w:rsidRPr="0070497C" w:rsidRDefault="006657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06" w:type="pct"/>
                        <w:gridSpan w:val="2"/>
                      </w:tcPr>
                      <w:p w:rsidR="006657B6" w:rsidRDefault="006657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הספנות (הגבלת אחריותם של בעלי כלי שיט), התשכ''ה-1965 1</w:t>
                        </w:r>
                      </w:p>
                      <w:p w:rsidR="006657B6" w:rsidRDefault="006657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אחרי הגדרת "האמנה" יבוא:</w:t>
                        </w:r>
                      </w:p>
                      <w:p w:rsidR="006657B6" w:rsidRDefault="006657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""הפרוטוקול" - הפרוטוקול המתקן את האמנה, שנחתם בבריסל ביום</w:t>
                        </w:r>
                      </w:p>
                      <w:p w:rsidR="006657B6" w:rsidRPr="0070497C" w:rsidRDefault="006657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בדצמבר 1979;".</w:t>
                        </w:r>
                      </w:p>
                    </w:tc>
                  </w:tr>
                  <w:tr w:rsidR="006657B6" w:rsidRPr="0070497C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6657B6" w:rsidRPr="0070497C" w:rsidRDefault="006657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306" w:type="pct"/>
                        <w:gridSpan w:val="2"/>
                      </w:tcPr>
                      <w:p w:rsidR="006657B6" w:rsidRPr="0070497C" w:rsidRDefault="006657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העיקרי, אחרי "להוראות האמנה" יבוא "כפי שתוקנה בפרוטוקול".</w:t>
                        </w:r>
                      </w:p>
                    </w:tc>
                  </w:tr>
                  <w:tr w:rsidR="006657B6" w:rsidRPr="0070497C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6657B6" w:rsidRPr="0070497C" w:rsidRDefault="006657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21</w:t>
                        </w:r>
                      </w:p>
                    </w:tc>
                    <w:tc>
                      <w:tcPr>
                        <w:tcW w:w="4306" w:type="pct"/>
                        <w:gridSpan w:val="2"/>
                      </w:tcPr>
                      <w:p w:rsidR="006657B6" w:rsidRPr="0070497C" w:rsidRDefault="006657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21 לחוק העיקרי יבוא:</w:t>
                        </w:r>
                      </w:p>
                    </w:tc>
                  </w:tr>
                  <w:tr w:rsidR="006657B6" w:rsidRPr="0070497C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6657B6" w:rsidRDefault="006657B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27" w:type="pct"/>
                      </w:tcPr>
                      <w:p w:rsidR="006657B6" w:rsidRDefault="006657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לכל סכום שישולם מכספי קרן הגבלה ייווספו הפרשי</w:t>
                        </w:r>
                      </w:p>
                      <w:p w:rsidR="006657B6" w:rsidRDefault="006657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למדד המחירים לצרכן וריבית מיום הקמת הקרן עד יום</w:t>
                        </w:r>
                      </w:p>
                      <w:p w:rsidR="006657B6" w:rsidRDefault="006657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התשלום; הריבית תהיה ריבית לא צמודה בשיעור של 4% לשנה;</w:t>
                        </w:r>
                      </w:p>
                      <w:p w:rsidR="006657B6" w:rsidRDefault="006657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ושר התחבורה, בהתייעצות עם נגיד בנק ישראל, רשאים,</w:t>
                        </w:r>
                      </w:p>
                      <w:p w:rsidR="006657B6" w:rsidRDefault="006657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בצו, לשנות את שיעור הריבית.</w:t>
                        </w:r>
                      </w:p>
                      <w:p w:rsidR="006657B6" w:rsidRDefault="006657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שהקים את הקרן חייב בתשלומי הפרשי ההצמחה</w:t>
                        </w:r>
                      </w:p>
                      <w:p w:rsidR="006657B6" w:rsidRDefault="006657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והריבית כאמור בסעיף קטן (א), ואם לא הופקד סכום הקרן במזומנים -</w:t>
                        </w:r>
                      </w:p>
                      <w:p w:rsidR="006657B6" w:rsidRDefault="006657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בהם גם מי שחייב בקיום הערובה לתשלום הקרן.''</w:t>
                        </w:r>
                      </w:p>
                    </w:tc>
                    <w:tc>
                      <w:tcPr>
                        <w:tcW w:w="679" w:type="pct"/>
                      </w:tcPr>
                      <w:p w:rsidR="006657B6" w:rsidRDefault="006657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"הטרשי הצמדה</w:t>
                        </w:r>
                      </w:p>
                      <w:p w:rsidR="006657B6" w:rsidRPr="0070497C" w:rsidRDefault="006657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למדד וריבית</w:t>
                        </w:r>
                      </w:p>
                    </w:tc>
                  </w:tr>
                  <w:tr w:rsidR="006657B6" w:rsidRPr="0070497C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6657B6" w:rsidRPr="0070497C" w:rsidRDefault="006657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</w:tc>
                    <w:tc>
                      <w:tcPr>
                        <w:tcW w:w="4306" w:type="pct"/>
                        <w:gridSpan w:val="2"/>
                      </w:tcPr>
                      <w:p w:rsidR="006657B6" w:rsidRDefault="006657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בתוספת לחוק העיקרי, בסעיף 3 -</w:t>
                        </w:r>
                      </w:p>
                      <w:p w:rsidR="006657B6" w:rsidRDefault="006657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 -</w:t>
                        </w:r>
                      </w:p>
                      <w:p w:rsidR="006657B6" w:rsidRDefault="006657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(א), במקום "1000 פראנק" יבוא "66.67 יחידות חישוב";</w:t>
                        </w:r>
                      </w:p>
                      <w:p w:rsidR="006657B6" w:rsidRDefault="006657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(ב), במקום "3100 פראנק" יבוא "206.67 יחידות חישוב";</w:t>
                        </w:r>
                      </w:p>
                      <w:p w:rsidR="006657B6" w:rsidRDefault="006657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(ג), במקום ''3100 פראנק" יבוא "206.67 יחידות חישוב'/</w:t>
                        </w:r>
                      </w:p>
                      <w:p w:rsidR="006657B6" w:rsidRDefault="006657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''2100 פראנק'' יבוא "140 יחידות חישוב" ובמקום "1000 פראנק"</w:t>
                        </w:r>
                      </w:p>
                      <w:p w:rsidR="006657B6" w:rsidRPr="0070497C" w:rsidRDefault="006657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"66.67 יחידות חישוב";</w:t>
                        </w:r>
                      </w:p>
                    </w:tc>
                  </w:tr>
                </w:tbl>
                <w:p w:rsidR="006657B6" w:rsidRDefault="006657B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070" o:spid="_x0000_s1028" type="#_x0000_t202" style="position:absolute;left:0;text-align:left;margin-left:195.05pt;margin-top:221.45pt;width:327.5pt;height:33.85pt;z-index:1;mso-wrap-style:none;mso-position-horizontal-relative:page;mso-position-vertical-relative:page" stroked="f">
            <v:textbox style="mso-next-textbox:#_x0000_s35070" inset="0,0,0,0">
              <w:txbxContent>
                <w:p w:rsidR="006657B6" w:rsidRDefault="006657B6">
                  <w:pPr>
                    <w:pStyle w:val="OCRStyle1"/>
                    <w:ind w:left="238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הספנות (הגבלת אחריותם של בעלי כלי שיט) (תיקון),</w:t>
                  </w:r>
                </w:p>
                <w:p w:rsidR="006657B6" w:rsidRPr="0070497C" w:rsidRDefault="006657B6">
                  <w:pPr>
                    <w:pStyle w:val="OCRStyle1"/>
                    <w:ind w:left="217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התשמ"ז-1987 *</w:t>
                  </w:r>
                </w:p>
              </w:txbxContent>
            </v:textbox>
            <w10:wrap anchorx="page" anchory="page"/>
          </v:shape>
        </w:pict>
      </w:r>
    </w:p>
    <w:p w:rsidR="006657B6" w:rsidRDefault="006657B6">
      <w:pPr>
        <w:rPr>
          <w:rtl/>
        </w:rPr>
      </w:pPr>
      <w:r>
        <w:rPr>
          <w:rtl/>
        </w:rPr>
        <w:br w:type="page"/>
      </w:r>
    </w:p>
    <w:p w:rsidR="006657B6" w:rsidRDefault="00000000">
      <w:pPr>
        <w:rPr>
          <w:rtl/>
        </w:rPr>
      </w:pPr>
      <w:r>
        <w:pict>
          <v:shape id="_x0000_s3507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5071" inset="0,0,0,0">
              <w:txbxContent>
                <w:p w:rsidR="006657B6" w:rsidRDefault="006657B6">
                  <w:r>
                    <w:rPr>
                      <w:rtl/>
                    </w:rPr>
                    <w:t>134                                         ספר החוקים 1218                   א' בתמוז התשמ"ז 28.06.1987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72" o:spid="_x0000_s1030" type="#_x0000_t202" style="position:absolute;left:0;text-align:left;margin-left:88.45pt;margin-top:703.1pt;width:166.5pt;height:34.65pt;z-index:9;mso-wrap-style:none;mso-position-horizontal-relative:page;mso-position-vertical-relative:page" stroked="f">
            <v:textbox style="mso-next-textbox:#_x0000_s35072" inset="0,0,0,0">
              <w:txbxContent>
                <w:p w:rsidR="006657B6" w:rsidRDefault="006657B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5073" o:spid="_x0000_s1031" type="#_x0000_t202" style="position:absolute;left:0;text-align:left;margin-left:116.35pt;margin-top:269.9pt;width:79.2pt;height:37.2pt;z-index:8;mso-wrap-style:none;mso-position-horizontal-relative:page;mso-position-vertical-relative:page" stroked="f">
            <v:textbox style="mso-next-textbox:#_x0000_s35073" inset="0,0,0,0">
              <w:txbxContent>
                <w:p w:rsidR="006657B6" w:rsidRDefault="006657B6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חיים קורפו</w:t>
                  </w:r>
                </w:p>
                <w:p w:rsidR="006657B6" w:rsidRDefault="006657B6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74" o:spid="_x0000_s1032" type="#_x0000_t202" style="position:absolute;left:0;text-align:left;margin-left:248.45pt;margin-top:272.45pt;width:76.65pt;height:46.15pt;z-index:7;mso-wrap-style:none;mso-position-horizontal-relative:page;mso-position-vertical-relative:page" stroked="f">
            <v:textbox style="mso-next-textbox:#_x0000_s35074" inset="0,0,0,0">
              <w:txbxContent>
                <w:p w:rsidR="006657B6" w:rsidRDefault="006657B6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657B6" w:rsidRDefault="006657B6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75" o:spid="_x0000_s1033" type="#_x0000_t202" style="position:absolute;left:0;text-align:left;margin-left:365.65pt;margin-top:295.65pt;width:102.95pt;height:41.2pt;z-index:6;mso-wrap-style:none;mso-position-horizontal-relative:page;mso-position-vertical-relative:page" stroked="f">
            <v:textbox style="mso-next-textbox:#_x0000_s35075" inset="0,0,0,0">
              <w:txbxContent>
                <w:p w:rsidR="006657B6" w:rsidRDefault="006657B6">
                  <w:pPr>
                    <w:pStyle w:val="OCRStyle2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657B6" w:rsidRDefault="006657B6">
                  <w:pPr>
                    <w:pStyle w:val="OCRStyle2"/>
                    <w:ind w:left="54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76" o:spid="_x0000_s1034" type="#_x0000_t202" style="position:absolute;left:0;text-align:left;margin-left:78.55pt;margin-top:76.05pt;width:366.3pt;height:186.5pt;z-index:5;mso-wrap-style:none;mso-position-horizontal-relative:page;mso-position-vertical-relative:page" stroked="f">
            <v:textbox style="mso-next-textbox:#_x0000_s35076" inset="0,0,0,0">
              <w:txbxContent>
                <w:p w:rsidR="006657B6" w:rsidRDefault="006657B6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(2) במקום סעיף קטן (6) יבוא:</w:t>
                  </w:r>
                </w:p>
                <w:p w:rsidR="006657B6" w:rsidRDefault="006657B6">
                  <w:pPr>
                    <w:pStyle w:val="OCRStyle2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"(6) יחידת החישוב הנזכרת בסעיף קטן (1) לסעיף זה היא זכית המשיכה</w:t>
                  </w:r>
                </w:p>
                <w:p w:rsidR="006657B6" w:rsidRDefault="006657B6">
                  <w:pPr>
                    <w:pStyle w:val="OCRStyle2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המיוחדת כפי שהיא מוגדרת בידי קרן המטבע הבין-לאומית.</w:t>
                  </w:r>
                </w:p>
                <w:p w:rsidR="006657B6" w:rsidRDefault="006657B6">
                  <w:pPr>
                    <w:pStyle w:val="OCRStyle2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הסכומים הנזכרים בסעיף קטן (1) לסעיף זה יומרו במטבע הלאומי</w:t>
                  </w:r>
                </w:p>
                <w:p w:rsidR="006657B6" w:rsidRDefault="006657B6">
                  <w:pPr>
                    <w:pStyle w:val="OCRStyle2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של המדינה שבה מבוקשת ההגבלה על בסיס שוויו של המטבע האמור</w:t>
                  </w:r>
                </w:p>
                <w:p w:rsidR="006657B6" w:rsidRDefault="006657B6">
                  <w:pPr>
                    <w:pStyle w:val="OCRStyle2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ביחס ליחידת החישוב המוגדרת לעיל, בתאריך שבו יצר בעל האניה את</w:t>
                  </w:r>
                </w:p>
                <w:p w:rsidR="006657B6" w:rsidRDefault="006657B6">
                  <w:pPr>
                    <w:pStyle w:val="OCRStyle2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קרן ההגבלה או שילם את התשלום או נתן ערובה שלפי החוק של אותה</w:t>
                  </w:r>
                </w:p>
                <w:p w:rsidR="006657B6" w:rsidRDefault="006657B6">
                  <w:pPr>
                    <w:pStyle w:val="OCRStyle2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מדינה היא שוות ערך לתשלום זה.</w:t>
                  </w:r>
                </w:p>
                <w:p w:rsidR="006657B6" w:rsidRDefault="006657B6">
                  <w:pPr>
                    <w:pStyle w:val="OCRStyle2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שווי המטבע הלאומי בערכים של זכות משיכה מיוחדת יחושב בהתאם</w:t>
                  </w:r>
                </w:p>
                <w:p w:rsidR="006657B6" w:rsidRDefault="006657B6">
                  <w:pPr>
                    <w:pStyle w:val="OCRStyle2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לשיטת החישוב המופעלת על ידי קרן המטבע הבין-לאומית, כפי שהיא</w:t>
                  </w:r>
                </w:p>
                <w:p w:rsidR="006657B6" w:rsidRDefault="006657B6">
                  <w:pPr>
                    <w:pStyle w:val="OCRStyle2"/>
                    <w:ind w:left="601"/>
                  </w:pPr>
                  <w:r>
                    <w:rPr>
                      <w:rtl/>
                    </w:rPr>
                    <w:t>בתוקף בתאריך ההמרה האמור לעיל, לגבי פעולות הקרן ועסקותיה."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0497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497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6771790-C0DA-4D0C-866C-B1F42A4A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0497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657B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2008-04-07T02:48:00Z</dcterms:created>
  <dcterms:modified xsi:type="dcterms:W3CDTF">2008-04-07T02:49:00Z</dcterms:modified>
</cp:coreProperties>
</file>